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2DE" w:rsidRDefault="009E22DE">
      <w:pPr>
        <w:pStyle w:val="Standard"/>
        <w:jc w:val="both"/>
        <w:rPr>
          <w:rFonts w:ascii="Segoe UI" w:hAnsi="Segoe UI" w:cs="Segoe UI"/>
        </w:rPr>
      </w:pPr>
      <w:bookmarkStart w:id="0" w:name="_GoBack"/>
      <w:bookmarkEnd w:id="0"/>
    </w:p>
    <w:p w:rsidR="009E22DE" w:rsidRDefault="009260D1">
      <w:pPr>
        <w:pStyle w:val="CabealhodoSumrio"/>
      </w:pPr>
      <w:r>
        <w:t>Sumário</w:t>
      </w:r>
    </w:p>
    <w:sdt>
      <w:sdtPr>
        <w:id w:val="-1859180426"/>
        <w:docPartObj>
          <w:docPartGallery w:val="Table of Contents"/>
          <w:docPartUnique/>
        </w:docPartObj>
      </w:sdtPr>
      <w:sdtEndPr/>
      <w:sdtContent>
        <w:p w:rsidR="009E22DE" w:rsidRDefault="009260D1">
          <w:pPr>
            <w:pStyle w:val="Sumrio1"/>
            <w:tabs>
              <w:tab w:val="right" w:leader="dot" w:pos="440"/>
            </w:tabs>
          </w:pPr>
          <w:r>
            <w:fldChar w:fldCharType="begin"/>
          </w:r>
          <w:r>
            <w:rPr>
              <w:rStyle w:val="Vnculodendice"/>
            </w:rPr>
            <w:instrText>TOC \o "1-3" \u \h</w:instrText>
          </w:r>
          <w:r>
            <w:rPr>
              <w:rStyle w:val="Vnculodendice"/>
            </w:rPr>
            <w:fldChar w:fldCharType="separate"/>
          </w:r>
          <w:hyperlink w:anchor="_Toc75782285">
            <w:r>
              <w:rPr>
                <w:rStyle w:val="Vnculodendice"/>
              </w:rPr>
              <w:t>1</w:t>
            </w:r>
            <w:r>
              <w:rPr>
                <w:rStyle w:val="Vnculodendice"/>
                <w:rFonts w:ascii="Calibri" w:eastAsia="Times New Roman" w:hAnsi="Calibri" w:cs="Times New Roman"/>
                <w:kern w:val="0"/>
                <w:szCs w:val="22"/>
                <w:lang w:eastAsia="pt-BR" w:bidi="ar-SA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_Toc75782285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>Objeto da Contratação</w:t>
            </w:r>
            <w:r>
              <w:rPr>
                <w:rStyle w:val="Vnculodendice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 w:rsidR="009E22DE" w:rsidRDefault="009260D1">
          <w:pPr>
            <w:pStyle w:val="Sumrio1"/>
            <w:tabs>
              <w:tab w:val="right" w:leader="dot" w:pos="440"/>
            </w:tabs>
          </w:pPr>
          <w:hyperlink w:anchor="_Toc75782286">
            <w:r>
              <w:rPr>
                <w:rStyle w:val="Vnculodendice"/>
              </w:rPr>
              <w:t>2</w:t>
            </w:r>
            <w:r>
              <w:rPr>
                <w:rStyle w:val="Vnculodendice"/>
                <w:rFonts w:ascii="Calibri" w:eastAsia="Times New Roman" w:hAnsi="Calibri" w:cs="Times New Roman"/>
                <w:kern w:val="0"/>
                <w:szCs w:val="22"/>
                <w:lang w:eastAsia="pt-BR" w:bidi="ar-SA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_Toc75782286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>Descrição da Solução de TIC</w:t>
            </w:r>
            <w:r>
              <w:rPr>
                <w:rStyle w:val="Vnculodendice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 w:rsidR="009E22DE" w:rsidRDefault="009260D1">
          <w:pPr>
            <w:pStyle w:val="Sumrio1"/>
            <w:tabs>
              <w:tab w:val="right" w:leader="dot" w:pos="440"/>
            </w:tabs>
          </w:pPr>
          <w:hyperlink w:anchor="_Toc75782287">
            <w:r>
              <w:rPr>
                <w:rStyle w:val="Vnculodendice"/>
              </w:rPr>
              <w:t>3</w:t>
            </w:r>
            <w:r>
              <w:rPr>
                <w:rStyle w:val="Vnculodendice"/>
                <w:rFonts w:ascii="Calibri" w:eastAsia="Times New Roman" w:hAnsi="Calibri" w:cs="Times New Roman"/>
                <w:kern w:val="0"/>
                <w:szCs w:val="22"/>
                <w:lang w:eastAsia="pt-BR" w:bidi="ar-SA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_Toc75782287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>Justificativa da Contratação e Alinhamento Estratégico</w:t>
            </w:r>
            <w:r>
              <w:rPr>
                <w:rStyle w:val="Vnculodendice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 w:rsidR="009E22DE" w:rsidRDefault="009260D1">
          <w:pPr>
            <w:pStyle w:val="Sumrio2"/>
            <w:tabs>
              <w:tab w:val="right" w:leader="dot" w:pos="880"/>
              <w:tab w:val="right" w:leader="dot" w:pos="9628"/>
            </w:tabs>
          </w:pPr>
          <w:hyperlink w:anchor="_Toc75782288">
            <w:r>
              <w:rPr>
                <w:rStyle w:val="Vnculodendice"/>
              </w:rPr>
              <w:t>3.1</w:t>
            </w:r>
            <w:r>
              <w:rPr>
                <w:rStyle w:val="Vnculodendice"/>
                <w:rFonts w:ascii="Calibri" w:eastAsia="Times New Roman" w:hAnsi="Calibri" w:cs="Times New Roman"/>
                <w:kern w:val="0"/>
                <w:sz w:val="22"/>
                <w:szCs w:val="22"/>
                <w:lang w:eastAsia="pt-BR" w:bidi="ar-SA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_Toc75782288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>Alinhamento Estratégico</w:t>
            </w:r>
            <w:r>
              <w:rPr>
                <w:rStyle w:val="Vnculodendic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:rsidR="009E22DE" w:rsidRDefault="009260D1">
          <w:pPr>
            <w:pStyle w:val="Sumrio1"/>
            <w:tabs>
              <w:tab w:val="right" w:leader="dot" w:pos="440"/>
            </w:tabs>
          </w:pPr>
          <w:hyperlink w:anchor="_Toc75782289">
            <w:r>
              <w:rPr>
                <w:rStyle w:val="Vnculodendice"/>
              </w:rPr>
              <w:t>4</w:t>
            </w:r>
            <w:r>
              <w:rPr>
                <w:rStyle w:val="Vnculodendice"/>
                <w:rFonts w:ascii="Calibri" w:eastAsia="Times New Roman" w:hAnsi="Calibri" w:cs="Times New Roman"/>
                <w:kern w:val="0"/>
                <w:szCs w:val="22"/>
                <w:lang w:eastAsia="pt-BR" w:bidi="ar-SA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_Toc75782289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>Especificação dos Requisitos da Contratação</w:t>
            </w:r>
            <w:r>
              <w:rPr>
                <w:rStyle w:val="Vnculodendic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 w:rsidR="009E22DE" w:rsidRDefault="009260D1">
          <w:pPr>
            <w:pStyle w:val="Sumrio2"/>
            <w:tabs>
              <w:tab w:val="right" w:leader="dot" w:pos="880"/>
              <w:tab w:val="right" w:leader="dot" w:pos="9628"/>
            </w:tabs>
          </w:pPr>
          <w:hyperlink w:anchor="_Toc75782290">
            <w:r>
              <w:rPr>
                <w:rStyle w:val="Vnculodendice"/>
              </w:rPr>
              <w:t>4.1</w:t>
            </w:r>
            <w:r>
              <w:rPr>
                <w:rStyle w:val="Vnculodendice"/>
                <w:rFonts w:ascii="Calibri" w:eastAsia="Times New Roman" w:hAnsi="Calibri" w:cs="Times New Roman"/>
                <w:kern w:val="0"/>
                <w:sz w:val="22"/>
                <w:szCs w:val="22"/>
                <w:lang w:eastAsia="pt-BR" w:bidi="ar-SA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_Toc75782290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>Composição do Serviço</w:t>
            </w:r>
            <w:r>
              <w:rPr>
                <w:rStyle w:val="Vnculodendic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 w:rsidR="009E22DE" w:rsidRDefault="009260D1">
          <w:pPr>
            <w:pStyle w:val="Sumrio3"/>
            <w:tabs>
              <w:tab w:val="right" w:leader="dot" w:pos="1100"/>
              <w:tab w:val="right" w:leader="dot" w:pos="9628"/>
            </w:tabs>
          </w:pPr>
          <w:hyperlink w:anchor="_Toc75782291">
            <w:r>
              <w:rPr>
                <w:rStyle w:val="Vnculodendice"/>
              </w:rPr>
              <w:t>4.1.1</w:t>
            </w:r>
            <w:r>
              <w:rPr>
                <w:rStyle w:val="Vnculodendice"/>
                <w:rFonts w:ascii="Calibri" w:eastAsia="Times New Roman" w:hAnsi="Calibri" w:cs="Times New Roman"/>
                <w:kern w:val="0"/>
                <w:sz w:val="22"/>
                <w:szCs w:val="22"/>
                <w:lang w:eastAsia="pt-BR" w:bidi="ar-SA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_Toc75782291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>Tratamento do requerimento de compensação de aposentadoria e pensão</w:t>
            </w:r>
            <w:r>
              <w:rPr>
                <w:rStyle w:val="Vnculodendic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 w:rsidR="009E22DE" w:rsidRDefault="009260D1">
          <w:pPr>
            <w:pStyle w:val="Sumrio3"/>
            <w:tabs>
              <w:tab w:val="right" w:leader="dot" w:pos="1100"/>
              <w:tab w:val="right" w:leader="dot" w:pos="9628"/>
            </w:tabs>
          </w:pPr>
          <w:hyperlink w:anchor="_Toc75782292">
            <w:r>
              <w:rPr>
                <w:rStyle w:val="Vnculodendice"/>
              </w:rPr>
              <w:t>4.1.2</w:t>
            </w:r>
            <w:r>
              <w:rPr>
                <w:rStyle w:val="Vnculodendice"/>
                <w:rFonts w:ascii="Calibri" w:eastAsia="Times New Roman" w:hAnsi="Calibri" w:cs="Times New Roman"/>
                <w:kern w:val="0"/>
                <w:sz w:val="22"/>
                <w:szCs w:val="22"/>
                <w:lang w:eastAsia="pt-BR" w:bidi="ar-SA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_Toc75782292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>Cálculo da compensação</w:t>
            </w:r>
            <w:r>
              <w:rPr>
                <w:rStyle w:val="Vnculodendic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:rsidR="009E22DE" w:rsidRDefault="009260D1">
          <w:pPr>
            <w:pStyle w:val="Sumrio3"/>
            <w:tabs>
              <w:tab w:val="right" w:leader="dot" w:pos="1100"/>
              <w:tab w:val="right" w:leader="dot" w:pos="9628"/>
            </w:tabs>
          </w:pPr>
          <w:hyperlink w:anchor="_Toc75782293">
            <w:r>
              <w:rPr>
                <w:rStyle w:val="Vnculodendice"/>
              </w:rPr>
              <w:t>4.1.3</w:t>
            </w:r>
            <w:r>
              <w:rPr>
                <w:rStyle w:val="Vnculodendice"/>
                <w:rFonts w:ascii="Calibri" w:eastAsia="Times New Roman" w:hAnsi="Calibri" w:cs="Times New Roman"/>
                <w:kern w:val="0"/>
                <w:sz w:val="22"/>
                <w:szCs w:val="22"/>
                <w:lang w:eastAsia="pt-BR" w:bidi="ar-SA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</w:instrText>
            </w:r>
            <w:r>
              <w:rPr>
                <w:webHidden/>
              </w:rPr>
              <w:instrText>AGEREF _Toc75782293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>Pagamento</w:t>
            </w:r>
            <w:r>
              <w:rPr>
                <w:rStyle w:val="Vnculodendic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:rsidR="009E22DE" w:rsidRDefault="009260D1">
          <w:pPr>
            <w:pStyle w:val="Sumrio3"/>
            <w:tabs>
              <w:tab w:val="right" w:leader="dot" w:pos="1100"/>
              <w:tab w:val="right" w:leader="dot" w:pos="9628"/>
            </w:tabs>
          </w:pPr>
          <w:hyperlink w:anchor="_Toc75782294">
            <w:r>
              <w:rPr>
                <w:rStyle w:val="Vnculodendice"/>
              </w:rPr>
              <w:t>4.1.4</w:t>
            </w:r>
            <w:r>
              <w:rPr>
                <w:rStyle w:val="Vnculodendice"/>
                <w:rFonts w:ascii="Calibri" w:eastAsia="Times New Roman" w:hAnsi="Calibri" w:cs="Times New Roman"/>
                <w:kern w:val="0"/>
                <w:sz w:val="22"/>
                <w:szCs w:val="22"/>
                <w:lang w:eastAsia="pt-BR" w:bidi="ar-SA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_Toc75782294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>Relatórios de Gestão</w:t>
            </w:r>
            <w:r>
              <w:rPr>
                <w:rStyle w:val="Vnculodendic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:rsidR="009E22DE" w:rsidRDefault="009260D1">
          <w:pPr>
            <w:pStyle w:val="Sumrio3"/>
            <w:tabs>
              <w:tab w:val="right" w:leader="dot" w:pos="1100"/>
              <w:tab w:val="right" w:leader="dot" w:pos="9628"/>
            </w:tabs>
          </w:pPr>
          <w:hyperlink w:anchor="_Toc75782295">
            <w:r>
              <w:rPr>
                <w:rStyle w:val="Vnculodendice"/>
              </w:rPr>
              <w:t>4.1.5</w:t>
            </w:r>
            <w:r>
              <w:rPr>
                <w:rStyle w:val="Vnculodendice"/>
                <w:rFonts w:ascii="Calibri" w:eastAsia="Times New Roman" w:hAnsi="Calibri" w:cs="Times New Roman"/>
                <w:kern w:val="0"/>
                <w:sz w:val="22"/>
                <w:szCs w:val="22"/>
                <w:lang w:eastAsia="pt-BR" w:bidi="ar-SA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_Toc75782295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>Revisão</w:t>
            </w:r>
            <w:r>
              <w:rPr>
                <w:rStyle w:val="Vnculodendic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:rsidR="009E22DE" w:rsidRDefault="009260D1">
          <w:pPr>
            <w:pStyle w:val="Sumrio3"/>
            <w:tabs>
              <w:tab w:val="right" w:leader="dot" w:pos="1100"/>
              <w:tab w:val="right" w:leader="dot" w:pos="9628"/>
            </w:tabs>
          </w:pPr>
          <w:hyperlink w:anchor="_Toc75782296">
            <w:r>
              <w:rPr>
                <w:rStyle w:val="Vnculodendice"/>
              </w:rPr>
              <w:t>4.1.6</w:t>
            </w:r>
            <w:r>
              <w:rPr>
                <w:rStyle w:val="Vnculodendice"/>
                <w:rFonts w:ascii="Calibri" w:eastAsia="Times New Roman" w:hAnsi="Calibri" w:cs="Times New Roman"/>
                <w:kern w:val="0"/>
                <w:sz w:val="22"/>
                <w:szCs w:val="22"/>
                <w:lang w:eastAsia="pt-BR" w:bidi="ar-SA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_Toc75782296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>Reabertura do Requerimento</w:t>
            </w:r>
            <w:r>
              <w:rPr>
                <w:rStyle w:val="Vnculodendic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:rsidR="009E22DE" w:rsidRDefault="009260D1">
          <w:pPr>
            <w:pStyle w:val="Sumrio3"/>
            <w:tabs>
              <w:tab w:val="right" w:leader="dot" w:pos="1100"/>
              <w:tab w:val="right" w:leader="dot" w:pos="9628"/>
            </w:tabs>
          </w:pPr>
          <w:hyperlink w:anchor="_Toc75782297">
            <w:r>
              <w:rPr>
                <w:rStyle w:val="Vnculodendice"/>
              </w:rPr>
              <w:t>4.1.7</w:t>
            </w:r>
            <w:r>
              <w:rPr>
                <w:rStyle w:val="Vnculodendice"/>
                <w:rFonts w:ascii="Calibri" w:eastAsia="Times New Roman" w:hAnsi="Calibri" w:cs="Times New Roman"/>
                <w:kern w:val="0"/>
                <w:sz w:val="22"/>
                <w:szCs w:val="22"/>
                <w:lang w:eastAsia="pt-BR" w:bidi="ar-SA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_Toc75782297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>Análise Automática</w:t>
            </w:r>
            <w:r>
              <w:rPr>
                <w:rStyle w:val="Vnculodendic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:rsidR="009E22DE" w:rsidRDefault="009260D1">
          <w:pPr>
            <w:pStyle w:val="Sumrio1"/>
            <w:tabs>
              <w:tab w:val="right" w:leader="dot" w:pos="440"/>
            </w:tabs>
          </w:pPr>
          <w:hyperlink w:anchor="_Toc75782298">
            <w:r>
              <w:rPr>
                <w:rStyle w:val="Vnculodendice"/>
              </w:rPr>
              <w:t xml:space="preserve">5 </w:t>
            </w:r>
            <w:r>
              <w:rPr>
                <w:rStyle w:val="Vnculodendice"/>
                <w:rFonts w:ascii="Calibri" w:eastAsia="Times New Roman" w:hAnsi="Calibri" w:cs="Times New Roman"/>
                <w:kern w:val="0"/>
                <w:szCs w:val="22"/>
                <w:lang w:eastAsia="pt-BR" w:bidi="ar-SA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</w:instrText>
            </w:r>
            <w:r>
              <w:rPr>
                <w:webHidden/>
              </w:rPr>
              <w:instrText>GEREF _Toc75782298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>Deveres e Responsabilidades</w:t>
            </w:r>
            <w:r>
              <w:rPr>
                <w:rStyle w:val="Vnculodendic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 w:rsidR="009E22DE" w:rsidRDefault="009260D1">
          <w:pPr>
            <w:pStyle w:val="Sumrio1"/>
            <w:tabs>
              <w:tab w:val="right" w:leader="dot" w:pos="440"/>
            </w:tabs>
          </w:pPr>
          <w:hyperlink w:anchor="_Toc75782299">
            <w:r>
              <w:rPr>
                <w:rStyle w:val="Vnculodendice"/>
              </w:rPr>
              <w:t>6</w:t>
            </w:r>
            <w:r>
              <w:rPr>
                <w:rStyle w:val="Vnculodendice"/>
                <w:rFonts w:ascii="Calibri" w:eastAsia="Times New Roman" w:hAnsi="Calibri" w:cs="Times New Roman"/>
                <w:kern w:val="0"/>
                <w:szCs w:val="22"/>
                <w:lang w:eastAsia="pt-BR" w:bidi="ar-SA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_Toc75782299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>Modelo de Execução e Gestão Contratual</w:t>
            </w:r>
            <w:r>
              <w:rPr>
                <w:rStyle w:val="Vnculodendic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 w:rsidR="009E22DE" w:rsidRDefault="009260D1">
          <w:pPr>
            <w:pStyle w:val="Sumrio1"/>
            <w:tabs>
              <w:tab w:val="right" w:leader="dot" w:pos="440"/>
            </w:tabs>
          </w:pPr>
          <w:hyperlink w:anchor="_Toc75782300">
            <w:r>
              <w:rPr>
                <w:rStyle w:val="Vnculodendice"/>
              </w:rPr>
              <w:t xml:space="preserve">7 </w:t>
            </w:r>
            <w:r>
              <w:rPr>
                <w:rStyle w:val="Vnculodendice"/>
                <w:rFonts w:ascii="Calibri" w:eastAsia="Times New Roman" w:hAnsi="Calibri" w:cs="Times New Roman"/>
                <w:kern w:val="0"/>
                <w:szCs w:val="22"/>
                <w:lang w:eastAsia="pt-BR" w:bidi="ar-SA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_Toc75782300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>Estimativa de Valor e Dotação Orçamentária</w:t>
            </w:r>
            <w:r>
              <w:rPr>
                <w:rStyle w:val="Vnculodendic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 w:rsidR="009E22DE" w:rsidRDefault="009260D1">
          <w:pPr>
            <w:pStyle w:val="Sumrio2"/>
            <w:tabs>
              <w:tab w:val="right" w:leader="dot" w:pos="880"/>
              <w:tab w:val="right" w:leader="dot" w:pos="9628"/>
            </w:tabs>
          </w:pPr>
          <w:hyperlink w:anchor="_Toc75782301">
            <w:r>
              <w:rPr>
                <w:rStyle w:val="Vnculodendice"/>
              </w:rPr>
              <w:t>7.1</w:t>
            </w:r>
            <w:r>
              <w:rPr>
                <w:rStyle w:val="Vnculodendice"/>
                <w:rFonts w:ascii="Calibri" w:eastAsia="Times New Roman" w:hAnsi="Calibri" w:cs="Times New Roman"/>
                <w:kern w:val="0"/>
                <w:sz w:val="22"/>
                <w:szCs w:val="22"/>
                <w:lang w:eastAsia="pt-BR" w:bidi="ar-SA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</w:instrText>
            </w:r>
            <w:r>
              <w:rPr>
                <w:webHidden/>
              </w:rPr>
              <w:instrText>_Toc75782301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>Dotação Orçamentária e Cronograma Físico Financeiro</w:t>
            </w:r>
            <w:r>
              <w:rPr>
                <w:rStyle w:val="Vnculodendice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 w:rsidR="009E22DE" w:rsidRDefault="009260D1">
          <w:pPr>
            <w:pStyle w:val="Sumrio2"/>
            <w:tabs>
              <w:tab w:val="right" w:leader="dot" w:pos="880"/>
              <w:tab w:val="right" w:leader="dot" w:pos="9628"/>
            </w:tabs>
          </w:pPr>
          <w:hyperlink w:anchor="_Toc75782302">
            <w:r>
              <w:rPr>
                <w:rStyle w:val="Vnculodendice"/>
              </w:rPr>
              <w:t>7.2</w:t>
            </w:r>
            <w:r>
              <w:rPr>
                <w:rStyle w:val="Vnculodendice"/>
                <w:rFonts w:ascii="Calibri" w:eastAsia="Times New Roman" w:hAnsi="Calibri" w:cs="Times New Roman"/>
                <w:kern w:val="0"/>
                <w:sz w:val="22"/>
                <w:szCs w:val="22"/>
                <w:lang w:eastAsia="pt-BR" w:bidi="ar-SA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_Toc75782302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>Forma de Pagamento</w:t>
            </w:r>
            <w:r>
              <w:rPr>
                <w:rStyle w:val="Vnculodendice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 w:rsidR="009E22DE" w:rsidRDefault="009260D1">
          <w:pPr>
            <w:pStyle w:val="Sumrio1"/>
            <w:tabs>
              <w:tab w:val="right" w:leader="dot" w:pos="440"/>
            </w:tabs>
          </w:pPr>
          <w:hyperlink w:anchor="_Toc75782303">
            <w:r>
              <w:rPr>
                <w:rStyle w:val="Vnculodendice"/>
              </w:rPr>
              <w:t>8</w:t>
            </w:r>
            <w:r>
              <w:rPr>
                <w:rStyle w:val="Vnculodendice"/>
                <w:rFonts w:ascii="Calibri" w:eastAsia="Times New Roman" w:hAnsi="Calibri" w:cs="Times New Roman"/>
                <w:kern w:val="0"/>
                <w:szCs w:val="22"/>
                <w:lang w:eastAsia="pt-BR" w:bidi="ar-SA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_Toc75782303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>Regime de Execução do Contrato</w:t>
            </w:r>
            <w:r>
              <w:rPr>
                <w:rStyle w:val="Vnculodendice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 w:rsidR="009E22DE" w:rsidRDefault="009260D1">
          <w:pPr>
            <w:pStyle w:val="Sumrio1"/>
            <w:tabs>
              <w:tab w:val="right" w:leader="dot" w:pos="440"/>
            </w:tabs>
          </w:pPr>
          <w:hyperlink w:anchor="_Toc75782304">
            <w:r>
              <w:rPr>
                <w:rStyle w:val="Vnculodendice"/>
              </w:rPr>
              <w:t>9</w:t>
            </w:r>
            <w:r>
              <w:rPr>
                <w:rStyle w:val="Vnculodendice"/>
                <w:rFonts w:ascii="Calibri" w:eastAsia="Times New Roman" w:hAnsi="Calibri" w:cs="Times New Roman"/>
                <w:kern w:val="0"/>
                <w:szCs w:val="22"/>
                <w:lang w:eastAsia="pt-BR" w:bidi="ar-SA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_Toc75782304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>Fundam</w:t>
            </w:r>
            <w:r>
              <w:rPr>
                <w:rStyle w:val="Vnculodendice"/>
              </w:rPr>
              <w:t>entação e Seleção do Fornecedor</w:t>
            </w:r>
            <w:r>
              <w:rPr>
                <w:rStyle w:val="Vnculodendice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 w:rsidR="009E22DE" w:rsidRDefault="009260D1">
          <w:pPr>
            <w:pStyle w:val="Sumrio2"/>
            <w:tabs>
              <w:tab w:val="right" w:leader="dot" w:pos="880"/>
              <w:tab w:val="right" w:leader="dot" w:pos="9628"/>
            </w:tabs>
          </w:pPr>
          <w:hyperlink w:anchor="_Toc75782305">
            <w:r>
              <w:rPr>
                <w:rStyle w:val="Vnculodendice"/>
              </w:rPr>
              <w:t xml:space="preserve">9.1 </w:t>
            </w:r>
            <w:r>
              <w:rPr>
                <w:rStyle w:val="Vnculodendice"/>
                <w:rFonts w:ascii="Calibri" w:eastAsia="Times New Roman" w:hAnsi="Calibri" w:cs="Times New Roman"/>
                <w:kern w:val="0"/>
                <w:sz w:val="22"/>
                <w:szCs w:val="22"/>
                <w:lang w:eastAsia="pt-BR" w:bidi="ar-SA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_Toc75782305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>Processo de Planejamento</w:t>
            </w:r>
            <w:r>
              <w:rPr>
                <w:rStyle w:val="Vnculodendice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 w:rsidR="009E22DE" w:rsidRDefault="009260D1">
          <w:pPr>
            <w:pStyle w:val="Sumrio2"/>
            <w:tabs>
              <w:tab w:val="right" w:leader="dot" w:pos="880"/>
              <w:tab w:val="right" w:leader="dot" w:pos="9628"/>
            </w:tabs>
          </w:pPr>
          <w:hyperlink w:anchor="_Toc75782306">
            <w:r>
              <w:rPr>
                <w:rStyle w:val="Vnculodendice"/>
              </w:rPr>
              <w:t>9.2</w:t>
            </w:r>
            <w:r>
              <w:rPr>
                <w:rStyle w:val="Vnculodendice"/>
                <w:rFonts w:ascii="Calibri" w:eastAsia="Times New Roman" w:hAnsi="Calibri" w:cs="Times New Roman"/>
                <w:kern w:val="0"/>
                <w:sz w:val="22"/>
                <w:szCs w:val="22"/>
                <w:lang w:eastAsia="pt-BR" w:bidi="ar-SA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_Toc75782306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>Seleção do Fornecedor</w:t>
            </w:r>
            <w:r>
              <w:rPr>
                <w:rStyle w:val="Vnculodendice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 w:rsidR="009E22DE" w:rsidRDefault="009260D1">
          <w:pPr>
            <w:pStyle w:val="Sumrio1"/>
            <w:tabs>
              <w:tab w:val="right" w:leader="dot" w:pos="440"/>
            </w:tabs>
          </w:pPr>
          <w:hyperlink w:anchor="_Toc75782307">
            <w:r>
              <w:rPr>
                <w:rStyle w:val="Vnculodendice"/>
              </w:rPr>
              <w:t>10</w:t>
            </w:r>
            <w:r>
              <w:rPr>
                <w:rStyle w:val="Vnculodendice"/>
                <w:rFonts w:ascii="Calibri" w:eastAsia="Times New Roman" w:hAnsi="Calibri" w:cs="Times New Roman"/>
                <w:kern w:val="0"/>
                <w:szCs w:val="22"/>
                <w:lang w:eastAsia="pt-BR" w:bidi="ar-SA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_Toc75782307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>Vigência do Contrato</w:t>
            </w:r>
            <w:r>
              <w:rPr>
                <w:rStyle w:val="Vnculodendice"/>
              </w:rPr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 w:rsidR="009E22DE" w:rsidRDefault="009260D1">
          <w:pPr>
            <w:pStyle w:val="Sumrio1"/>
            <w:tabs>
              <w:tab w:val="right" w:leader="dot" w:pos="440"/>
            </w:tabs>
          </w:pPr>
          <w:hyperlink w:anchor="_Toc75782308">
            <w:r>
              <w:rPr>
                <w:rStyle w:val="Vnculodendice"/>
              </w:rPr>
              <w:t>11</w:t>
            </w:r>
            <w:r>
              <w:rPr>
                <w:rStyle w:val="Vnculodendice"/>
                <w:rFonts w:ascii="Calibri" w:eastAsia="Times New Roman" w:hAnsi="Calibri" w:cs="Times New Roman"/>
                <w:kern w:val="0"/>
                <w:szCs w:val="22"/>
                <w:lang w:eastAsia="pt-BR" w:bidi="ar-SA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_Toc75782308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>Reajuste de Preços</w:t>
            </w:r>
            <w:r>
              <w:rPr>
                <w:rStyle w:val="Vnculodendice"/>
              </w:rPr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 w:rsidR="009E22DE" w:rsidRDefault="009260D1">
          <w:pPr>
            <w:pStyle w:val="Sumrio1"/>
            <w:tabs>
              <w:tab w:val="right" w:leader="dot" w:pos="440"/>
            </w:tabs>
          </w:pPr>
          <w:hyperlink w:anchor="_Toc75782309">
            <w:r>
              <w:rPr>
                <w:rStyle w:val="Vnculodendice"/>
              </w:rPr>
              <w:t>12</w:t>
            </w:r>
            <w:r>
              <w:rPr>
                <w:rStyle w:val="Vnculodendice"/>
                <w:rFonts w:ascii="Calibri" w:eastAsia="Times New Roman" w:hAnsi="Calibri" w:cs="Times New Roman"/>
                <w:kern w:val="0"/>
                <w:szCs w:val="22"/>
                <w:lang w:eastAsia="pt-BR" w:bidi="ar-SA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_Toc75782309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>Referência Legal</w:t>
            </w:r>
            <w:r>
              <w:rPr>
                <w:rStyle w:val="Vnculodendice"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  <w:r>
            <w:rPr>
              <w:rStyle w:val="Vnculodendice"/>
            </w:rPr>
            <w:fldChar w:fldCharType="end"/>
          </w:r>
        </w:p>
      </w:sdtContent>
    </w:sdt>
    <w:p w:rsidR="009E22DE" w:rsidRDefault="009E22DE"/>
    <w:p w:rsidR="009E22DE" w:rsidRDefault="009260D1">
      <w:pPr>
        <w:rPr>
          <w:rFonts w:ascii="Segoe UI" w:hAnsi="Segoe UI" w:cs="Mangal"/>
          <w:sz w:val="22"/>
          <w:szCs w:val="21"/>
        </w:rPr>
      </w:pPr>
      <w:r>
        <w:br w:type="page"/>
      </w:r>
    </w:p>
    <w:p w:rsidR="009E22DE" w:rsidRDefault="009E22DE">
      <w:pPr>
        <w:suppressAutoHyphens w:val="0"/>
      </w:pPr>
    </w:p>
    <w:p w:rsidR="009E22DE" w:rsidRDefault="009E22DE"/>
    <w:p w:rsidR="009E22DE" w:rsidRDefault="009260D1">
      <w:pPr>
        <w:pStyle w:val="Ttulo1"/>
      </w:pPr>
      <w:bookmarkStart w:id="1" w:name="_Toc52541753"/>
      <w:bookmarkStart w:id="2" w:name="_Toc52535704"/>
      <w:bookmarkStart w:id="3" w:name="_Toc51926297"/>
      <w:bookmarkStart w:id="4" w:name="_Toc51923533"/>
      <w:bookmarkStart w:id="5" w:name="_Toc51807879"/>
      <w:bookmarkStart w:id="6" w:name="_Toc50587781"/>
      <w:bookmarkStart w:id="7" w:name="_Toc75782285"/>
      <w:bookmarkStart w:id="8" w:name="_Toc75718660"/>
      <w:bookmarkStart w:id="9" w:name="_Toc74213069"/>
      <w:r>
        <w:t>1</w:t>
      </w:r>
      <w:r>
        <w:tab/>
      </w:r>
      <w:bookmarkEnd w:id="1"/>
      <w:bookmarkEnd w:id="2"/>
      <w:bookmarkEnd w:id="3"/>
      <w:bookmarkEnd w:id="4"/>
      <w:bookmarkEnd w:id="5"/>
      <w:bookmarkEnd w:id="6"/>
      <w:r>
        <w:t>Objeto da Contratação</w:t>
      </w:r>
      <w:bookmarkEnd w:id="7"/>
      <w:bookmarkEnd w:id="8"/>
      <w:bookmarkEnd w:id="9"/>
    </w:p>
    <w:p w:rsidR="009E22DE" w:rsidRDefault="009260D1">
      <w:pPr>
        <w:pStyle w:val="Standard"/>
        <w:spacing w:before="240"/>
        <w:jc w:val="both"/>
      </w:pPr>
      <w:r>
        <w:rPr>
          <w:rFonts w:ascii="Segoe UI" w:hAnsi="Segoe UI" w:cs="Segoe UI"/>
          <w:sz w:val="22"/>
          <w:szCs w:val="22"/>
        </w:rPr>
        <w:t xml:space="preserve">Contratação de serviço </w:t>
      </w:r>
      <w:r>
        <w:rPr>
          <w:rFonts w:ascii="Segoe UI" w:hAnsi="Segoe UI" w:cs="Segoe UI"/>
          <w:i/>
          <w:iCs/>
          <w:sz w:val="22"/>
          <w:szCs w:val="22"/>
        </w:rPr>
        <w:t>SaaS (Software as a Service)</w:t>
      </w:r>
      <w:r>
        <w:rPr>
          <w:rFonts w:ascii="Segoe UI" w:hAnsi="Segoe UI" w:cs="Segoe UI"/>
          <w:sz w:val="22"/>
          <w:szCs w:val="22"/>
        </w:rPr>
        <w:t xml:space="preserve"> para operacionalização da compensação financeira entre o Reg</w:t>
      </w:r>
      <w:r>
        <w:rPr>
          <w:rFonts w:ascii="Segoe UI" w:hAnsi="Segoe UI" w:cs="Segoe UI"/>
          <w:sz w:val="22"/>
          <w:szCs w:val="22"/>
        </w:rPr>
        <w:t>ime Geral de Previdência Social e os regimes próprios de previdência social dos servidores públicos da União, dos Estados, do Distrito Federal e dos Municípios, e entre os regimes próprios, na hipótese de contagem recíproca de tempo de contribuição para ef</w:t>
      </w:r>
      <w:r>
        <w:rPr>
          <w:rFonts w:ascii="Segoe UI" w:hAnsi="Segoe UI" w:cs="Segoe UI"/>
          <w:sz w:val="22"/>
          <w:szCs w:val="22"/>
        </w:rPr>
        <w:t>eito de aposentadoria, em cumprimento ao estabelecido pelo Decreto nº 10.188 de 20 de dezembro de 2019 e Portaria/SEPTR/ME nº 15.829, de 2 de julho de 2020.</w:t>
      </w:r>
    </w:p>
    <w:p w:rsidR="009E22DE" w:rsidRDefault="009E22DE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</w:p>
    <w:p w:rsidR="009E22DE" w:rsidRDefault="009260D1">
      <w:pPr>
        <w:pStyle w:val="Ttulo1"/>
      </w:pPr>
      <w:bookmarkStart w:id="10" w:name="_Toc75782286"/>
      <w:r>
        <w:t>2</w:t>
      </w:r>
      <w:r>
        <w:tab/>
        <w:t>Descrição da Solução de TIC</w:t>
      </w:r>
      <w:bookmarkEnd w:id="10"/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O serviço em tela visa atender aos Regimes Próprios de Previdência </w:t>
      </w:r>
      <w:r>
        <w:rPr>
          <w:rFonts w:ascii="Segoe UI" w:hAnsi="Segoe UI" w:cs="Segoe UI"/>
          <w:sz w:val="22"/>
          <w:szCs w:val="22"/>
        </w:rPr>
        <w:t>Social (RPPS) que necessitem realizar compensação previdenciária com outros entes, sejam regimes próprios ou o regime geral (INSS).</w:t>
      </w:r>
    </w:p>
    <w:p w:rsidR="009E22DE" w:rsidRDefault="009260D1">
      <w:pPr>
        <w:pStyle w:val="Standard"/>
        <w:spacing w:before="240"/>
        <w:jc w:val="both"/>
      </w:pPr>
      <w:r>
        <w:rPr>
          <w:rFonts w:ascii="Segoe UI" w:hAnsi="Segoe UI" w:cs="Segoe UI"/>
          <w:sz w:val="22"/>
          <w:szCs w:val="22"/>
        </w:rPr>
        <w:t>Este serviço é prestado pela Empresa de Tecnologia e Informações da Previdências - Dataprev, tendo como escopo de operação d</w:t>
      </w:r>
      <w:r>
        <w:rPr>
          <w:rFonts w:ascii="Segoe UI" w:hAnsi="Segoe UI" w:cs="Segoe UI"/>
          <w:sz w:val="22"/>
          <w:szCs w:val="22"/>
        </w:rPr>
        <w:t xml:space="preserve">esde o tratamento de entrada do requerimento de compensação, cálculo da compensação e pagamento até os relatórios de gestão. O serviço é comercializado pela Dataprev na modalidade </w:t>
      </w:r>
      <w:r>
        <w:rPr>
          <w:rFonts w:ascii="Segoe UI" w:hAnsi="Segoe UI" w:cs="Segoe UI"/>
          <w:b/>
          <w:bCs/>
          <w:i/>
          <w:iCs/>
          <w:sz w:val="22"/>
          <w:szCs w:val="22"/>
        </w:rPr>
        <w:t>SaaS</w:t>
      </w:r>
      <w:r>
        <w:rPr>
          <w:rFonts w:ascii="Segoe UI" w:hAnsi="Segoe UI" w:cs="Segoe UI"/>
          <w:b/>
          <w:bCs/>
          <w:sz w:val="22"/>
          <w:szCs w:val="22"/>
        </w:rPr>
        <w:t xml:space="preserve"> (</w:t>
      </w:r>
      <w:r>
        <w:rPr>
          <w:rFonts w:ascii="Segoe UI" w:hAnsi="Segoe UI" w:cs="Segoe UI"/>
          <w:b/>
          <w:bCs/>
          <w:i/>
          <w:iCs/>
          <w:sz w:val="22"/>
          <w:szCs w:val="22"/>
        </w:rPr>
        <w:t>Software as a Service</w:t>
      </w:r>
      <w:r>
        <w:rPr>
          <w:rFonts w:ascii="Segoe UI" w:hAnsi="Segoe UI" w:cs="Segoe UI"/>
          <w:b/>
          <w:bCs/>
          <w:sz w:val="22"/>
          <w:szCs w:val="22"/>
        </w:rPr>
        <w:t>)</w:t>
      </w:r>
      <w:r>
        <w:rPr>
          <w:rFonts w:ascii="Segoe UI" w:hAnsi="Segoe UI" w:cs="Segoe UI"/>
          <w:sz w:val="22"/>
          <w:szCs w:val="22"/>
        </w:rPr>
        <w:t>.</w:t>
      </w:r>
    </w:p>
    <w:p w:rsidR="009E22DE" w:rsidRDefault="009E22DE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Os serviços a serem contratados se enquadram </w:t>
      </w:r>
      <w:r>
        <w:rPr>
          <w:rFonts w:ascii="Segoe UI" w:hAnsi="Segoe UI" w:cs="Segoe UI"/>
          <w:sz w:val="22"/>
          <w:szCs w:val="22"/>
        </w:rPr>
        <w:t>nos pressupostos do Decreto n° 9.507, de 21 de setembro de 2018, não se configurando em quaisquer das atividades previstas no Art. 3º do aludido decreto, cuja execução indireta é vedada.</w:t>
      </w:r>
    </w:p>
    <w:p w:rsidR="009E22DE" w:rsidRDefault="009E22DE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</w:p>
    <w:p w:rsidR="009E22DE" w:rsidRDefault="009260D1">
      <w:pPr>
        <w:pStyle w:val="Ttulo1"/>
      </w:pPr>
      <w:bookmarkStart w:id="11" w:name="_Toc52541754"/>
      <w:bookmarkStart w:id="12" w:name="_Toc52535705"/>
      <w:bookmarkStart w:id="13" w:name="_Toc51926298"/>
      <w:bookmarkStart w:id="14" w:name="_Toc51923534"/>
      <w:bookmarkStart w:id="15" w:name="_Toc51807880"/>
      <w:bookmarkStart w:id="16" w:name="_Toc75718661"/>
      <w:bookmarkStart w:id="17" w:name="_Toc74213070"/>
      <w:bookmarkStart w:id="18" w:name="_Toc75782287"/>
      <w:r>
        <w:t>3</w:t>
      </w:r>
      <w:r>
        <w:tab/>
      </w:r>
      <w:bookmarkEnd w:id="11"/>
      <w:bookmarkEnd w:id="12"/>
      <w:bookmarkEnd w:id="13"/>
      <w:bookmarkEnd w:id="14"/>
      <w:bookmarkEnd w:id="15"/>
      <w:r>
        <w:t>Justificativa da Contratação</w:t>
      </w:r>
      <w:bookmarkEnd w:id="16"/>
      <w:bookmarkEnd w:id="17"/>
      <w:r>
        <w:t xml:space="preserve"> e Alinhamento Estratégico</w:t>
      </w:r>
      <w:bookmarkEnd w:id="18"/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A presente </w:t>
      </w:r>
      <w:r>
        <w:rPr>
          <w:rFonts w:ascii="Segoe UI" w:hAnsi="Segoe UI" w:cs="Segoe UI"/>
          <w:sz w:val="22"/>
          <w:szCs w:val="22"/>
        </w:rPr>
        <w:t>contratação tem arrimo no cumprimento à Lei 9.796, de 05 de maio de 1999, que dispõe sobre a compensação financeira entre o Regime Geral de Previdência Social e os regimes de previdência dos servidores da União, dos Estados, do Distrito Federal e dos Munic</w:t>
      </w:r>
      <w:r>
        <w:rPr>
          <w:rFonts w:ascii="Segoe UI" w:hAnsi="Segoe UI" w:cs="Segoe UI"/>
          <w:sz w:val="22"/>
          <w:szCs w:val="22"/>
        </w:rPr>
        <w:t>ípios, nos casos de contagem recíproca de tempo de contribuição para efeito de aposentadoria e pensões.</w:t>
      </w:r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Os artigos 3º e 4º da referida Lei definem a compensação financeira à que fazem jus o Regime Geral de Previdência Social, como regime instituidor, e cad</w:t>
      </w:r>
      <w:r>
        <w:rPr>
          <w:rFonts w:ascii="Segoe UI" w:hAnsi="Segoe UI" w:cs="Segoe UI"/>
          <w:sz w:val="22"/>
          <w:szCs w:val="22"/>
        </w:rPr>
        <w:t>a Regime Próprio de Previdência de servidor público, quando na condição de regime instituidor frente ao RGPS enquanto regime de origem.</w:t>
      </w:r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Em 20 de dezembro de 2019 o Decreto nº 10.188 regulamentou a Lei nº 9.796 e estabeleceu o prazo de 31 de dezembro de 202</w:t>
      </w:r>
      <w:r>
        <w:rPr>
          <w:rFonts w:ascii="Segoe UI" w:hAnsi="Segoe UI" w:cs="Segoe UI"/>
          <w:sz w:val="22"/>
          <w:szCs w:val="22"/>
        </w:rPr>
        <w:t>1 para adesão à compensação financeira, conforme transcrito a seguir:</w:t>
      </w:r>
    </w:p>
    <w:p w:rsidR="009E22DE" w:rsidRDefault="009260D1">
      <w:pPr>
        <w:pStyle w:val="Standard"/>
        <w:spacing w:before="240"/>
        <w:ind w:left="1701"/>
        <w:jc w:val="both"/>
        <w:rPr>
          <w:rFonts w:ascii="Segoe UI" w:hAnsi="Segoe UI" w:cs="Segoe UI"/>
          <w:i/>
          <w:iCs/>
          <w:sz w:val="22"/>
          <w:szCs w:val="22"/>
        </w:rPr>
      </w:pPr>
      <w:r>
        <w:rPr>
          <w:rFonts w:ascii="Segoe UI" w:hAnsi="Segoe UI" w:cs="Segoe UI"/>
          <w:i/>
          <w:iCs/>
          <w:sz w:val="22"/>
          <w:szCs w:val="22"/>
        </w:rPr>
        <w:t xml:space="preserve">Art. 25. Os Estados, o Distrito Federal e os Municípios deverão aderir à compensação financeira de que trata este Decreto até 31 de dezembro de 2021, sob pena de incidirem as sanções de </w:t>
      </w:r>
      <w:r>
        <w:rPr>
          <w:rFonts w:ascii="Segoe UI" w:hAnsi="Segoe UI" w:cs="Segoe UI"/>
          <w:i/>
          <w:iCs/>
          <w:sz w:val="22"/>
          <w:szCs w:val="22"/>
        </w:rPr>
        <w:t>que trata o art. 7º da Lei nº 9.717, de 27 de novembro de 1998, e a suspensão do pagamento da compensação financeira devida pelo RGPS.</w:t>
      </w:r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O Decreto atribuiu à Secretaria de Previdência da Secretaria Especial de Previdência e Trabalho (SEPTR) do Ministério da </w:t>
      </w:r>
      <w:r>
        <w:rPr>
          <w:rFonts w:ascii="Segoe UI" w:hAnsi="Segoe UI" w:cs="Segoe UI"/>
          <w:sz w:val="22"/>
          <w:szCs w:val="22"/>
        </w:rPr>
        <w:t>Economia a obrigação de disponibilizar sistema de compensação previdenciária destinado a manter atualizado o cadastro de todos os benefícios objeto de compensação financeira e apurar o montante devido pelos regimes. Estabeleceu ainda que, para o processame</w:t>
      </w:r>
      <w:r>
        <w:rPr>
          <w:rFonts w:ascii="Segoe UI" w:hAnsi="Segoe UI" w:cs="Segoe UI"/>
          <w:sz w:val="22"/>
          <w:szCs w:val="22"/>
        </w:rPr>
        <w:t>nto do requerimento de compensação financeira pelo sistema, o INSS e os RPPS celebrarão termo de adesão com a Secretaria Especial de Previdência e Trabalho do Ministério da Economia e contrato com a empresa de tecnologia desenvolvedora do sistema de compen</w:t>
      </w:r>
      <w:r>
        <w:rPr>
          <w:rFonts w:ascii="Segoe UI" w:hAnsi="Segoe UI" w:cs="Segoe UI"/>
          <w:sz w:val="22"/>
          <w:szCs w:val="22"/>
        </w:rPr>
        <w:t>sação previdenciária.</w:t>
      </w:r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Ademais, destaque-se a instituição, por meio Artigo 18º do Decreto 10.188, do Conselho Nacional dos Regimes Próprios de Previdência Social ao qual compete, dentre outras:</w:t>
      </w:r>
    </w:p>
    <w:p w:rsidR="009E22DE" w:rsidRDefault="009260D1">
      <w:pPr>
        <w:pStyle w:val="Standard"/>
        <w:numPr>
          <w:ilvl w:val="0"/>
          <w:numId w:val="1"/>
        </w:numPr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estabelecer as diretrizes para as relações negociais do INSS e </w:t>
      </w:r>
      <w:r>
        <w:rPr>
          <w:rFonts w:ascii="Segoe UI" w:hAnsi="Segoe UI" w:cs="Segoe UI"/>
          <w:sz w:val="22"/>
          <w:szCs w:val="22"/>
        </w:rPr>
        <w:t>dos RPPS com a empresa de tecnologia responsável pelo desenvolvimento do sistema de compensação previdenciária. (Art. 10º, § 2º);</w:t>
      </w:r>
    </w:p>
    <w:p w:rsidR="009E22DE" w:rsidRDefault="009260D1">
      <w:pPr>
        <w:pStyle w:val="Standard"/>
        <w:numPr>
          <w:ilvl w:val="0"/>
          <w:numId w:val="1"/>
        </w:numPr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participar da definição das políticas e das diretrizes gerais relativas aos RPPS. (Art. 18º, Inciso I);</w:t>
      </w:r>
    </w:p>
    <w:p w:rsidR="009E22DE" w:rsidRDefault="009260D1">
      <w:pPr>
        <w:pStyle w:val="Standard"/>
        <w:numPr>
          <w:ilvl w:val="0"/>
          <w:numId w:val="1"/>
        </w:numPr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propor a elaboração e </w:t>
      </w:r>
      <w:r>
        <w:rPr>
          <w:rFonts w:ascii="Segoe UI" w:hAnsi="Segoe UI" w:cs="Segoe UI"/>
          <w:sz w:val="22"/>
          <w:szCs w:val="22"/>
        </w:rPr>
        <w:t>a revisão de normas e procedimentos relativos aos RPPS e à compensação financeira entre o RGPS e os RPPS e destes entre si. (Art. 18º, Inciso II);</w:t>
      </w:r>
    </w:p>
    <w:p w:rsidR="009E22DE" w:rsidRDefault="009260D1">
      <w:pPr>
        <w:pStyle w:val="Standard"/>
        <w:numPr>
          <w:ilvl w:val="0"/>
          <w:numId w:val="1"/>
        </w:numPr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examinar proposições de normas e procedimentos relativos aos RPPS e à compensação financeira entre os </w:t>
      </w:r>
      <w:r>
        <w:rPr>
          <w:rFonts w:ascii="Segoe UI" w:hAnsi="Segoe UI" w:cs="Segoe UI"/>
          <w:sz w:val="22"/>
          <w:szCs w:val="22"/>
        </w:rPr>
        <w:t>regimes. (Art. 18º, Inciso III);</w:t>
      </w:r>
    </w:p>
    <w:p w:rsidR="009E22DE" w:rsidRDefault="009260D1">
      <w:pPr>
        <w:pStyle w:val="Standard"/>
        <w:numPr>
          <w:ilvl w:val="0"/>
          <w:numId w:val="1"/>
        </w:numPr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propor metas e ações que contribuam para o aprimoramento dos RPPS e da compensação financeira. (Art. 18º, Inciso V);</w:t>
      </w:r>
    </w:p>
    <w:p w:rsidR="009E22DE" w:rsidRDefault="009260D1">
      <w:pPr>
        <w:pStyle w:val="Standard"/>
        <w:numPr>
          <w:ilvl w:val="0"/>
          <w:numId w:val="1"/>
        </w:numPr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participar da definição e acompanhar o desenvolvimento de sistemas relativos aos RPPS e à compensação prev</w:t>
      </w:r>
      <w:r>
        <w:rPr>
          <w:rFonts w:ascii="Segoe UI" w:hAnsi="Segoe UI" w:cs="Segoe UI"/>
          <w:sz w:val="22"/>
          <w:szCs w:val="22"/>
        </w:rPr>
        <w:t>idenciária. (Art. 18º, Inciso VI);</w:t>
      </w:r>
    </w:p>
    <w:p w:rsidR="009E22DE" w:rsidRDefault="009260D1">
      <w:pPr>
        <w:pStyle w:val="Standard"/>
        <w:numPr>
          <w:ilvl w:val="0"/>
          <w:numId w:val="1"/>
        </w:numPr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acompanhar e avaliar a implementação de políticas, diretrizes gerais, metas, ações e a aplicação das normas e dos procedimentos relativos aos RPPS e à compensação financeira pelos entes federativos. (Art. 18º, Inciso VIII</w:t>
      </w:r>
      <w:r>
        <w:rPr>
          <w:rFonts w:ascii="Segoe UI" w:hAnsi="Segoe UI" w:cs="Segoe UI"/>
          <w:sz w:val="22"/>
          <w:szCs w:val="22"/>
        </w:rPr>
        <w:t>);</w:t>
      </w:r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Portanto, em atendimento ao Decreto nº 10.188, a Secretaria Especial de Previdência e Trabalho do Ministério da Economia disponibilizou, conforme informado por meio do Ofício Circular SEI nº 4114/2020/ME de 18 de novembro de 2020, o sistema de compensaç</w:t>
      </w:r>
      <w:r>
        <w:rPr>
          <w:rFonts w:ascii="Segoe UI" w:hAnsi="Segoe UI" w:cs="Segoe UI"/>
          <w:sz w:val="22"/>
          <w:szCs w:val="22"/>
        </w:rPr>
        <w:t>ão previdenciária, denominado COMPREV, desenvolvido e operacionalizado pela Empresa de Tecnologia e Informações da Previdência – DATAPREV.</w:t>
      </w:r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 presente contratação justifica-se primordialmente do atendimento à Portaria nº 15.829 de 2 de julho de 2020 da Secr</w:t>
      </w:r>
      <w:r>
        <w:rPr>
          <w:rFonts w:ascii="Segoe UI" w:hAnsi="Segoe UI" w:cs="Segoe UI"/>
          <w:sz w:val="22"/>
          <w:szCs w:val="22"/>
        </w:rPr>
        <w:t>etaria Especial de Previdência e Trabalho que dispôs sobre a operacionalização da compensação financeira entre o Regime Geral de Previdência Social e os regimes próprios de previdência social da União, dos Estados, do Distrito Federal e dos Municípios e de</w:t>
      </w:r>
      <w:r>
        <w:rPr>
          <w:rFonts w:ascii="Segoe UI" w:hAnsi="Segoe UI" w:cs="Segoe UI"/>
          <w:sz w:val="22"/>
          <w:szCs w:val="22"/>
        </w:rPr>
        <w:t>stes entre si, e estabeleceu em seu Artigo 5º:</w:t>
      </w:r>
    </w:p>
    <w:p w:rsidR="009E22DE" w:rsidRDefault="009260D1">
      <w:pPr>
        <w:pStyle w:val="Standard"/>
        <w:spacing w:before="240"/>
        <w:ind w:left="1701"/>
        <w:jc w:val="both"/>
      </w:pPr>
      <w:r>
        <w:rPr>
          <w:rFonts w:ascii="Segoe UI" w:hAnsi="Segoe UI" w:cs="Segoe UI"/>
          <w:b/>
          <w:bCs/>
          <w:sz w:val="22"/>
          <w:szCs w:val="22"/>
        </w:rPr>
        <w:t>Art</w:t>
      </w:r>
      <w:r>
        <w:rPr>
          <w:rFonts w:ascii="Segoe UI" w:hAnsi="Segoe UI" w:cs="Segoe UI"/>
          <w:b/>
          <w:bCs/>
          <w:i/>
          <w:iCs/>
          <w:sz w:val="22"/>
          <w:szCs w:val="22"/>
        </w:rPr>
        <w:t>. 5º Nos termos do Decreto nº 10.188, de 2019, para o processamento dos requerimentos de compensação financeira e a utilização do sistema COMPREV, o INSS, a União, os Estados, o Distrito Federal e os Municí</w:t>
      </w:r>
      <w:r>
        <w:rPr>
          <w:rFonts w:ascii="Segoe UI" w:hAnsi="Segoe UI" w:cs="Segoe UI"/>
          <w:b/>
          <w:bCs/>
          <w:i/>
          <w:iCs/>
          <w:sz w:val="22"/>
          <w:szCs w:val="22"/>
        </w:rPr>
        <w:t>pios deverão, até 31 de dezembro de 2021, celebrar</w:t>
      </w:r>
      <w:r>
        <w:rPr>
          <w:rFonts w:ascii="Segoe UI" w:hAnsi="Segoe UI" w:cs="Segoe UI"/>
          <w:i/>
          <w:iCs/>
          <w:sz w:val="22"/>
          <w:szCs w:val="22"/>
        </w:rPr>
        <w:t xml:space="preserve"> termo de adesão com a Secretaria Especial de Previdência e Trabalho e </w:t>
      </w:r>
      <w:r>
        <w:rPr>
          <w:rFonts w:ascii="Segoe UI" w:hAnsi="Segoe UI" w:cs="Segoe UI"/>
          <w:b/>
          <w:bCs/>
          <w:i/>
          <w:iCs/>
          <w:sz w:val="22"/>
          <w:szCs w:val="22"/>
        </w:rPr>
        <w:t>contrato com a Empresa de Tecnologia e Informações da Previdência - DATAPREV.</w:t>
      </w:r>
    </w:p>
    <w:p w:rsidR="009E22DE" w:rsidRDefault="009260D1">
      <w:pPr>
        <w:pStyle w:val="Standard"/>
        <w:spacing w:before="240"/>
        <w:ind w:left="1701"/>
        <w:jc w:val="both"/>
        <w:rPr>
          <w:rFonts w:ascii="Segoe UI" w:hAnsi="Segoe UI" w:cs="Segoe UI"/>
          <w:i/>
          <w:iCs/>
          <w:sz w:val="22"/>
          <w:szCs w:val="22"/>
        </w:rPr>
      </w:pPr>
      <w:r>
        <w:rPr>
          <w:rFonts w:ascii="Segoe UI" w:hAnsi="Segoe UI" w:cs="Segoe UI"/>
          <w:i/>
          <w:iCs/>
          <w:sz w:val="22"/>
          <w:szCs w:val="22"/>
        </w:rPr>
        <w:t>§ 1º As diretrizes das relações negociais para a utilizaç</w:t>
      </w:r>
      <w:r>
        <w:rPr>
          <w:rFonts w:ascii="Segoe UI" w:hAnsi="Segoe UI" w:cs="Segoe UI"/>
          <w:i/>
          <w:iCs/>
          <w:sz w:val="22"/>
          <w:szCs w:val="22"/>
        </w:rPr>
        <w:t>ão do COMPREV serão estabelecidas pelo Conselho Nacional dos Regimes Próprios de Previdência Social, de que trata o art. 18 do Decreto 10.188, de 2019, observando-se que:</w:t>
      </w:r>
    </w:p>
    <w:p w:rsidR="009E22DE" w:rsidRDefault="009260D1">
      <w:pPr>
        <w:pStyle w:val="Standard"/>
        <w:spacing w:before="240"/>
        <w:ind w:left="1701"/>
        <w:jc w:val="both"/>
      </w:pPr>
      <w:r>
        <w:rPr>
          <w:rFonts w:ascii="Segoe UI" w:hAnsi="Segoe UI" w:cs="Segoe UI"/>
          <w:b/>
          <w:bCs/>
          <w:i/>
          <w:iCs/>
          <w:sz w:val="22"/>
          <w:szCs w:val="22"/>
        </w:rPr>
        <w:t>I - na compensação entre o RGPS e os RPPS, o custeio do sistema será de responsabilid</w:t>
      </w:r>
      <w:r>
        <w:rPr>
          <w:rFonts w:ascii="Segoe UI" w:hAnsi="Segoe UI" w:cs="Segoe UI"/>
          <w:b/>
          <w:bCs/>
          <w:i/>
          <w:iCs/>
          <w:sz w:val="22"/>
          <w:szCs w:val="22"/>
        </w:rPr>
        <w:t>ade</w:t>
      </w:r>
      <w:r>
        <w:rPr>
          <w:rFonts w:ascii="Segoe UI" w:hAnsi="Segoe UI" w:cs="Segoe UI"/>
          <w:i/>
          <w:iCs/>
          <w:sz w:val="22"/>
          <w:szCs w:val="22"/>
        </w:rPr>
        <w:t xml:space="preserve"> do INSS até 31 de dezembro de 2021 e </w:t>
      </w:r>
      <w:r>
        <w:rPr>
          <w:rFonts w:ascii="Segoe UI" w:hAnsi="Segoe UI" w:cs="Segoe UI"/>
          <w:b/>
          <w:bCs/>
          <w:i/>
          <w:iCs/>
          <w:sz w:val="22"/>
          <w:szCs w:val="22"/>
        </w:rPr>
        <w:t>de cada regime instituidor a partir de 1º de janeiro de 2022;</w:t>
      </w:r>
    </w:p>
    <w:p w:rsidR="009E22DE" w:rsidRDefault="009260D1">
      <w:pPr>
        <w:pStyle w:val="Standard"/>
        <w:spacing w:before="240"/>
        <w:ind w:left="1701"/>
        <w:jc w:val="both"/>
        <w:rPr>
          <w:rFonts w:ascii="Segoe UI" w:hAnsi="Segoe UI" w:cs="Segoe UI"/>
          <w:i/>
          <w:iCs/>
          <w:sz w:val="22"/>
          <w:szCs w:val="22"/>
        </w:rPr>
      </w:pPr>
      <w:r>
        <w:rPr>
          <w:rFonts w:ascii="Segoe UI" w:hAnsi="Segoe UI" w:cs="Segoe UI"/>
          <w:i/>
          <w:iCs/>
          <w:sz w:val="22"/>
          <w:szCs w:val="22"/>
        </w:rPr>
        <w:t>II - na compensação entre os RPPS, o custeio do sistema será de responsabilidade de cada regime instituidor, a partir de 1º de janeiro de 2021.</w:t>
      </w:r>
    </w:p>
    <w:p w:rsidR="009E22DE" w:rsidRDefault="009260D1">
      <w:pPr>
        <w:pStyle w:val="Standard"/>
        <w:spacing w:before="240"/>
        <w:ind w:left="1701"/>
        <w:jc w:val="both"/>
        <w:rPr>
          <w:rFonts w:ascii="Segoe UI" w:hAnsi="Segoe UI" w:cs="Segoe UI"/>
          <w:i/>
          <w:iCs/>
          <w:sz w:val="22"/>
          <w:szCs w:val="22"/>
        </w:rPr>
      </w:pPr>
      <w:r>
        <w:rPr>
          <w:rFonts w:ascii="Segoe UI" w:hAnsi="Segoe UI" w:cs="Segoe UI"/>
          <w:i/>
          <w:iCs/>
          <w:sz w:val="22"/>
          <w:szCs w:val="22"/>
        </w:rPr>
        <w:t>§ 2º Os r</w:t>
      </w:r>
      <w:r>
        <w:rPr>
          <w:rFonts w:ascii="Segoe UI" w:hAnsi="Segoe UI" w:cs="Segoe UI"/>
          <w:i/>
          <w:iCs/>
          <w:sz w:val="22"/>
          <w:szCs w:val="22"/>
        </w:rPr>
        <w:t>equerimentos da compensação financeira entre os RPPS serão apresentados a partir de 1º de janeiro de 2021, por meio do COMPREV, somente pelos entes federativos que celebrarem o termo de adesão e o contrato de que trata o caput.</w:t>
      </w:r>
    </w:p>
    <w:p w:rsidR="009E22DE" w:rsidRDefault="009260D1">
      <w:pPr>
        <w:pStyle w:val="Standard"/>
        <w:spacing w:before="240"/>
        <w:ind w:left="1701"/>
        <w:jc w:val="both"/>
        <w:rPr>
          <w:rFonts w:ascii="Segoe UI" w:hAnsi="Segoe UI" w:cs="Segoe UI"/>
          <w:b/>
          <w:bCs/>
          <w:i/>
          <w:iCs/>
          <w:sz w:val="22"/>
          <w:szCs w:val="22"/>
        </w:rPr>
      </w:pPr>
      <w:r>
        <w:rPr>
          <w:rFonts w:ascii="Segoe UI" w:hAnsi="Segoe UI" w:cs="Segoe UI"/>
          <w:b/>
          <w:bCs/>
          <w:i/>
          <w:iCs/>
          <w:sz w:val="22"/>
          <w:szCs w:val="22"/>
        </w:rPr>
        <w:lastRenderedPageBreak/>
        <w:t xml:space="preserve">§ 3º O não atendimento ao </w:t>
      </w:r>
      <w:r>
        <w:rPr>
          <w:rFonts w:ascii="Segoe UI" w:hAnsi="Segoe UI" w:cs="Segoe UI"/>
          <w:b/>
          <w:bCs/>
          <w:i/>
          <w:iCs/>
          <w:sz w:val="22"/>
          <w:szCs w:val="22"/>
        </w:rPr>
        <w:t>previsto no caput constituirá causa impeditiva à emissão do Certificado de Regularidade Previdenciária, de que trata o inciso IV do art. 9º da Lei nº 9.717, de 27 de novembro de 1998, aplicando-se as sanções de que trata o art. 7º da referida Lei e a suspe</w:t>
      </w:r>
      <w:r>
        <w:rPr>
          <w:rFonts w:ascii="Segoe UI" w:hAnsi="Segoe UI" w:cs="Segoe UI"/>
          <w:b/>
          <w:bCs/>
          <w:i/>
          <w:iCs/>
          <w:sz w:val="22"/>
          <w:szCs w:val="22"/>
        </w:rPr>
        <w:t>nsão do pagamento da compensação financeira devida pelo RGPS.</w:t>
      </w:r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Anteriormente, o Decreto 10.188 de 2019 havia já imposto sanções para situações nas quais as compensações previdenciárias devidas não fossem tempestivamente realizadas:</w:t>
      </w:r>
    </w:p>
    <w:p w:rsidR="009E22DE" w:rsidRDefault="009260D1">
      <w:pPr>
        <w:pStyle w:val="Standard"/>
        <w:spacing w:before="240"/>
        <w:ind w:left="1701"/>
        <w:jc w:val="both"/>
        <w:rPr>
          <w:rFonts w:ascii="Segoe UI" w:hAnsi="Segoe UI" w:cs="Segoe UI"/>
          <w:i/>
          <w:iCs/>
          <w:sz w:val="22"/>
          <w:szCs w:val="22"/>
        </w:rPr>
      </w:pPr>
      <w:r>
        <w:rPr>
          <w:rFonts w:ascii="Segoe UI" w:hAnsi="Segoe UI" w:cs="Segoe UI"/>
          <w:i/>
          <w:iCs/>
          <w:sz w:val="22"/>
          <w:szCs w:val="22"/>
        </w:rPr>
        <w:t>Art. 11. O sistema de com</w:t>
      </w:r>
      <w:r>
        <w:rPr>
          <w:rFonts w:ascii="Segoe UI" w:hAnsi="Segoe UI" w:cs="Segoe UI"/>
          <w:i/>
          <w:iCs/>
          <w:sz w:val="22"/>
          <w:szCs w:val="22"/>
        </w:rPr>
        <w:t>pensação previdenciária disponibilizado pela Secretaria de Previdência da Secretaria Especial de Previdência e Trabalho do Ministério da Economia, na forma prevista no art. 10, conterá o cadastro atualizado de todos os benefícios objeto de compensação fina</w:t>
      </w:r>
      <w:r>
        <w:rPr>
          <w:rFonts w:ascii="Segoe UI" w:hAnsi="Segoe UI" w:cs="Segoe UI"/>
          <w:i/>
          <w:iCs/>
          <w:sz w:val="22"/>
          <w:szCs w:val="22"/>
        </w:rPr>
        <w:t>nceira entre o RGPS e os RPPS, e destes entre si, incluído o total que cada regime deve aos demais como compensação financeira.</w:t>
      </w:r>
    </w:p>
    <w:p w:rsidR="009E22DE" w:rsidRDefault="009260D1">
      <w:pPr>
        <w:pStyle w:val="Standard"/>
        <w:spacing w:before="240"/>
        <w:ind w:left="1701"/>
        <w:jc w:val="both"/>
      </w:pPr>
      <w:r>
        <w:rPr>
          <w:rFonts w:ascii="Segoe UI" w:hAnsi="Segoe UI" w:cs="Segoe UI"/>
          <w:i/>
          <w:iCs/>
          <w:sz w:val="22"/>
          <w:szCs w:val="22"/>
        </w:rPr>
        <w:t>§ 1º Até o dia trinta de cada mês, será disponibilizado ao regime de origem o total a ser por ele desembolsado a cada regime ins</w:t>
      </w:r>
      <w:r>
        <w:rPr>
          <w:rFonts w:ascii="Segoe UI" w:hAnsi="Segoe UI" w:cs="Segoe UI"/>
          <w:i/>
          <w:iCs/>
          <w:sz w:val="22"/>
          <w:szCs w:val="22"/>
        </w:rPr>
        <w:t xml:space="preserve">tituidor referente a competência do mês anterior, que corresponderá ao somatório do fluxo mensal, do fluxo acumulado e do estoque RGPS ou estoque RPPS, </w:t>
      </w:r>
      <w:r>
        <w:rPr>
          <w:rFonts w:ascii="Segoe UI" w:hAnsi="Segoe UI" w:cs="Segoe UI"/>
          <w:b/>
          <w:bCs/>
          <w:i/>
          <w:iCs/>
          <w:sz w:val="22"/>
          <w:szCs w:val="22"/>
        </w:rPr>
        <w:t>cujo desembolso deverá ser feito até o quinto dia útil do mês subsequente.</w:t>
      </w:r>
    </w:p>
    <w:p w:rsidR="009E22DE" w:rsidRDefault="009260D1">
      <w:pPr>
        <w:pStyle w:val="Standard"/>
        <w:spacing w:before="240"/>
        <w:ind w:left="1701"/>
        <w:jc w:val="both"/>
        <w:rPr>
          <w:rFonts w:ascii="Segoe UI" w:hAnsi="Segoe UI" w:cs="Segoe UI"/>
          <w:i/>
          <w:iCs/>
          <w:sz w:val="22"/>
          <w:szCs w:val="22"/>
        </w:rPr>
      </w:pPr>
      <w:r>
        <w:rPr>
          <w:rFonts w:ascii="Segoe UI" w:hAnsi="Segoe UI" w:cs="Segoe UI"/>
          <w:i/>
          <w:iCs/>
          <w:sz w:val="22"/>
          <w:szCs w:val="22"/>
        </w:rPr>
        <w:t>(....)</w:t>
      </w:r>
    </w:p>
    <w:p w:rsidR="009E22DE" w:rsidRDefault="009260D1">
      <w:pPr>
        <w:pStyle w:val="Standard"/>
        <w:spacing w:before="240"/>
        <w:ind w:left="1701"/>
        <w:jc w:val="both"/>
        <w:rPr>
          <w:rFonts w:ascii="Segoe UI" w:hAnsi="Segoe UI" w:cs="Segoe UI"/>
          <w:b/>
          <w:bCs/>
          <w:i/>
          <w:iCs/>
          <w:sz w:val="22"/>
          <w:szCs w:val="22"/>
        </w:rPr>
      </w:pPr>
      <w:r>
        <w:rPr>
          <w:rFonts w:ascii="Segoe UI" w:hAnsi="Segoe UI" w:cs="Segoe UI"/>
          <w:b/>
          <w:bCs/>
          <w:i/>
          <w:iCs/>
          <w:sz w:val="22"/>
          <w:szCs w:val="22"/>
        </w:rPr>
        <w:t>§ 6º O não pagamento n</w:t>
      </w:r>
      <w:r>
        <w:rPr>
          <w:rFonts w:ascii="Segoe UI" w:hAnsi="Segoe UI" w:cs="Segoe UI"/>
          <w:b/>
          <w:bCs/>
          <w:i/>
          <w:iCs/>
          <w:sz w:val="22"/>
          <w:szCs w:val="22"/>
        </w:rPr>
        <w:t>o prazo estabelecido no § 1º a qualquer regime resultará na suspensão do pagamento da compensação financeira devida pelo RGPS e poderá ensejar a inscrição do ente federativo do regime de origem em dívida ativa federal, estadual, distrital ou municipal.</w:t>
      </w:r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Em </w:t>
      </w:r>
      <w:r>
        <w:rPr>
          <w:rFonts w:ascii="Segoe UI" w:hAnsi="Segoe UI" w:cs="Segoe UI"/>
          <w:sz w:val="22"/>
          <w:szCs w:val="22"/>
        </w:rPr>
        <w:t>relação ao custeio do sistema de compensação previdenciária, ratificou a SEPTR, em Ofício circular posterior de número SEI nº 146/2021/ME datado de 27 de janeiro de 2021, que:</w:t>
      </w:r>
    </w:p>
    <w:p w:rsidR="009E22DE" w:rsidRDefault="009260D1">
      <w:pPr>
        <w:pStyle w:val="Standard"/>
        <w:spacing w:before="240"/>
        <w:ind w:left="1701"/>
        <w:jc w:val="both"/>
      </w:pPr>
      <w:r>
        <w:rPr>
          <w:rFonts w:ascii="Segoe UI" w:hAnsi="Segoe UI" w:cs="Segoe UI"/>
          <w:i/>
          <w:iCs/>
          <w:sz w:val="22"/>
          <w:szCs w:val="22"/>
        </w:rPr>
        <w:t>7. Quanto ao custeio do sistema, a Portaria SEPRT nº 15.829, de 2 de julho de 20</w:t>
      </w:r>
      <w:r>
        <w:rPr>
          <w:rFonts w:ascii="Segoe UI" w:hAnsi="Segoe UI" w:cs="Segoe UI"/>
          <w:i/>
          <w:iCs/>
          <w:sz w:val="22"/>
          <w:szCs w:val="22"/>
        </w:rPr>
        <w:t xml:space="preserve">20, estabeleceu que até 31 de dezembro de 2021, o custeio do sistema será feito pelo INSS, e que </w:t>
      </w:r>
      <w:r>
        <w:rPr>
          <w:rFonts w:ascii="Segoe UI" w:hAnsi="Segoe UI" w:cs="Segoe UI"/>
          <w:b/>
          <w:bCs/>
          <w:i/>
          <w:iCs/>
          <w:sz w:val="22"/>
          <w:szCs w:val="22"/>
        </w:rPr>
        <w:t>a partir de 2022, os entes federativos passarão a custeá-lo</w:t>
      </w:r>
      <w:r>
        <w:rPr>
          <w:rFonts w:ascii="Segoe UI" w:hAnsi="Segoe UI" w:cs="Segoe UI"/>
          <w:i/>
          <w:iCs/>
          <w:sz w:val="22"/>
          <w:szCs w:val="22"/>
        </w:rPr>
        <w:t>. De acordo com o Decreto nº 10.188, de 2019, é competência do Conselho Nacional dos Regimes Próprio</w:t>
      </w:r>
      <w:r>
        <w:rPr>
          <w:rFonts w:ascii="Segoe UI" w:hAnsi="Segoe UI" w:cs="Segoe UI"/>
          <w:i/>
          <w:iCs/>
          <w:sz w:val="22"/>
          <w:szCs w:val="22"/>
        </w:rPr>
        <w:t xml:space="preserve">s de Previdência Social - CNRPPS estabelecer as diretrizes negociais com a empresa desenvolvedora do sistema de compensação previdenciária. </w:t>
      </w:r>
      <w:r>
        <w:rPr>
          <w:rFonts w:ascii="Segoe UI" w:hAnsi="Segoe UI" w:cs="Segoe UI"/>
          <w:b/>
          <w:bCs/>
          <w:i/>
          <w:iCs/>
          <w:sz w:val="22"/>
          <w:szCs w:val="22"/>
        </w:rPr>
        <w:t xml:space="preserve">Portanto, para o processamento dos requerimentos de compensação previdenciária e a utilização do sistema COMPREV, o </w:t>
      </w:r>
      <w:r>
        <w:rPr>
          <w:rFonts w:ascii="Segoe UI" w:hAnsi="Segoe UI" w:cs="Segoe UI"/>
          <w:b/>
          <w:bCs/>
          <w:i/>
          <w:iCs/>
          <w:sz w:val="22"/>
          <w:szCs w:val="22"/>
        </w:rPr>
        <w:t xml:space="preserve">INSS, a União, os Estados, o Distrito Federal e os Municípios deverão, até 31 de dezembro de 2021, </w:t>
      </w:r>
      <w:r>
        <w:rPr>
          <w:rFonts w:ascii="Segoe UI" w:hAnsi="Segoe UI" w:cs="Segoe UI"/>
          <w:b/>
          <w:bCs/>
          <w:i/>
          <w:iCs/>
          <w:sz w:val="22"/>
          <w:szCs w:val="22"/>
        </w:rPr>
        <w:lastRenderedPageBreak/>
        <w:t>celebrar</w:t>
      </w:r>
      <w:r>
        <w:rPr>
          <w:rFonts w:ascii="Segoe UI" w:hAnsi="Segoe UI" w:cs="Segoe UI"/>
          <w:i/>
          <w:iCs/>
          <w:sz w:val="22"/>
          <w:szCs w:val="22"/>
        </w:rPr>
        <w:t xml:space="preserve"> termo de adesão com a Secretaria Especial de Previdência e Trabalho -SEPRT e </w:t>
      </w:r>
      <w:r>
        <w:rPr>
          <w:rFonts w:ascii="Segoe UI" w:hAnsi="Segoe UI" w:cs="Segoe UI"/>
          <w:b/>
          <w:bCs/>
          <w:i/>
          <w:iCs/>
          <w:sz w:val="22"/>
          <w:szCs w:val="22"/>
        </w:rPr>
        <w:t>contrato com a Dataprev</w:t>
      </w:r>
      <w:r>
        <w:rPr>
          <w:rFonts w:ascii="Segoe UI" w:hAnsi="Segoe UI" w:cs="Segoe UI"/>
          <w:i/>
          <w:iCs/>
          <w:sz w:val="22"/>
          <w:szCs w:val="22"/>
        </w:rPr>
        <w:t>.</w:t>
      </w:r>
    </w:p>
    <w:p w:rsidR="009E22DE" w:rsidRDefault="009260D1">
      <w:pPr>
        <w:pStyle w:val="Standard"/>
        <w:spacing w:before="240"/>
        <w:ind w:left="1560"/>
        <w:jc w:val="right"/>
      </w:pPr>
      <w:r>
        <w:rPr>
          <w:rFonts w:ascii="Segoe UI" w:hAnsi="Segoe UI" w:cs="Segoe UI"/>
          <w:i/>
          <w:iCs/>
          <w:sz w:val="18"/>
          <w:szCs w:val="18"/>
        </w:rPr>
        <w:t>(BRASIL. Secretaria de Previdência. Secretaria</w:t>
      </w:r>
      <w:r>
        <w:rPr>
          <w:rFonts w:ascii="Segoe UI" w:hAnsi="Segoe UI" w:cs="Segoe UI"/>
          <w:i/>
          <w:iCs/>
          <w:sz w:val="18"/>
          <w:szCs w:val="18"/>
        </w:rPr>
        <w:t xml:space="preserve"> Especial de Previdência e Trabalho. Ministério da Economia. Ofício Circular SEI 146/2021/ME. Brasília, DF: Ministério da Economia, 27 jan. 2021. Disponível em: </w:t>
      </w:r>
      <w:hyperlink r:id="rId7">
        <w:r>
          <w:rPr>
            <w:rStyle w:val="LinkdaInternet"/>
            <w:rFonts w:ascii="Segoe UI" w:hAnsi="Segoe UI" w:cs="Segoe UI"/>
            <w:i/>
            <w:iCs/>
            <w:sz w:val="18"/>
            <w:szCs w:val="18"/>
          </w:rPr>
          <w:t>https://www.gov.br/previdencia/pt-br/assuntos/previdencia-no-servico-publico/compensacao-previdenciaria/arquivos/2020/OfcioCircular146.pdf</w:t>
        </w:r>
      </w:hyperlink>
      <w:r>
        <w:rPr>
          <w:rFonts w:ascii="Segoe UI" w:hAnsi="Segoe UI" w:cs="Segoe UI"/>
          <w:i/>
          <w:iCs/>
          <w:sz w:val="18"/>
          <w:szCs w:val="18"/>
        </w:rPr>
        <w:t>. Grifos nossos)</w:t>
      </w:r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Complementarmente, o Conselho Nacional</w:t>
      </w:r>
      <w:r>
        <w:rPr>
          <w:rFonts w:ascii="Segoe UI" w:hAnsi="Segoe UI" w:cs="Segoe UI"/>
          <w:sz w:val="22"/>
          <w:szCs w:val="22"/>
        </w:rPr>
        <w:t xml:space="preserve"> dos Regimes Próprios de Previdência Social – CNRPPS manifestou-se, por meio da Recomendação CNRPPS/ME nº 1, de 15 de março de 2021, contrariamente à contratação de consultorias para a operacionalização da compensação previdenciária entre os regimes, por e</w:t>
      </w:r>
      <w:r>
        <w:rPr>
          <w:rFonts w:ascii="Segoe UI" w:hAnsi="Segoe UI" w:cs="Segoe UI"/>
          <w:sz w:val="22"/>
          <w:szCs w:val="22"/>
        </w:rPr>
        <w:t>ntender que tal prática é nociva aos RPPS por resultar em transferência desnecessária de recursos públicos para entidades privadas, afrontando o princípio da economicidade. A aludida manifestação embasou-se nas seguintes razões:</w:t>
      </w:r>
    </w:p>
    <w:p w:rsidR="009E22DE" w:rsidRDefault="009260D1">
      <w:pPr>
        <w:pStyle w:val="Standard"/>
        <w:numPr>
          <w:ilvl w:val="0"/>
          <w:numId w:val="2"/>
        </w:numPr>
        <w:spacing w:before="240"/>
        <w:ind w:left="1701" w:firstLine="0"/>
        <w:jc w:val="both"/>
        <w:rPr>
          <w:rFonts w:ascii="Segoe UI" w:hAnsi="Segoe UI" w:cs="Segoe UI"/>
          <w:i/>
          <w:iCs/>
          <w:sz w:val="22"/>
          <w:szCs w:val="22"/>
        </w:rPr>
      </w:pPr>
      <w:r>
        <w:rPr>
          <w:rFonts w:ascii="Segoe UI" w:hAnsi="Segoe UI" w:cs="Segoe UI"/>
          <w:i/>
          <w:iCs/>
          <w:sz w:val="22"/>
          <w:szCs w:val="22"/>
        </w:rPr>
        <w:t>considerando que a compensa</w:t>
      </w:r>
      <w:r>
        <w:rPr>
          <w:rFonts w:ascii="Segoe UI" w:hAnsi="Segoe UI" w:cs="Segoe UI"/>
          <w:i/>
          <w:iCs/>
          <w:sz w:val="22"/>
          <w:szCs w:val="22"/>
        </w:rPr>
        <w:t>ção previdenciária, disciplinada pela Lei nº 9.796, de 5 de maio de 1999, e pelo Decreto nº 10.188, de 2019, é uma importante fonte de receita dos regimes previdenciários, contribuindo para a promoção do seu equilíbrio financeiro e atuarial;</w:t>
      </w:r>
    </w:p>
    <w:p w:rsidR="009E22DE" w:rsidRDefault="009260D1">
      <w:pPr>
        <w:pStyle w:val="Standard"/>
        <w:numPr>
          <w:ilvl w:val="0"/>
          <w:numId w:val="2"/>
        </w:numPr>
        <w:spacing w:before="240"/>
        <w:ind w:left="1701" w:firstLine="0"/>
        <w:jc w:val="both"/>
        <w:rPr>
          <w:rFonts w:ascii="Segoe UI" w:hAnsi="Segoe UI" w:cs="Segoe UI"/>
          <w:i/>
          <w:iCs/>
          <w:sz w:val="22"/>
          <w:szCs w:val="22"/>
        </w:rPr>
      </w:pPr>
      <w:r>
        <w:rPr>
          <w:rFonts w:ascii="Segoe UI" w:hAnsi="Segoe UI" w:cs="Segoe UI"/>
          <w:i/>
          <w:iCs/>
          <w:sz w:val="22"/>
          <w:szCs w:val="22"/>
        </w:rPr>
        <w:t>considerando q</w:t>
      </w:r>
      <w:r>
        <w:rPr>
          <w:rFonts w:ascii="Segoe UI" w:hAnsi="Segoe UI" w:cs="Segoe UI"/>
          <w:i/>
          <w:iCs/>
          <w:sz w:val="22"/>
          <w:szCs w:val="22"/>
        </w:rPr>
        <w:t>ue a atividade de compensação previdenciária não se trata de um serviço com alto grau de complexidade e especialização, mas de atividade finalística e rotineira dos regimes próprios de previdência social, assim como a concessão dos benefícios;</w:t>
      </w:r>
    </w:p>
    <w:p w:rsidR="009E22DE" w:rsidRDefault="009260D1">
      <w:pPr>
        <w:pStyle w:val="Standard"/>
        <w:numPr>
          <w:ilvl w:val="0"/>
          <w:numId w:val="2"/>
        </w:numPr>
        <w:spacing w:before="240"/>
        <w:ind w:left="1701" w:firstLine="0"/>
        <w:jc w:val="both"/>
        <w:rPr>
          <w:rFonts w:ascii="Segoe UI" w:hAnsi="Segoe UI" w:cs="Segoe UI"/>
          <w:b/>
          <w:bCs/>
          <w:i/>
          <w:iCs/>
          <w:sz w:val="22"/>
          <w:szCs w:val="22"/>
        </w:rPr>
      </w:pPr>
      <w:r>
        <w:rPr>
          <w:rFonts w:ascii="Segoe UI" w:hAnsi="Segoe UI" w:cs="Segoe UI"/>
          <w:b/>
          <w:bCs/>
          <w:i/>
          <w:iCs/>
          <w:sz w:val="22"/>
          <w:szCs w:val="22"/>
        </w:rPr>
        <w:t>considerando</w:t>
      </w:r>
      <w:r>
        <w:rPr>
          <w:rFonts w:ascii="Segoe UI" w:hAnsi="Segoe UI" w:cs="Segoe UI"/>
          <w:b/>
          <w:bCs/>
          <w:i/>
          <w:iCs/>
          <w:sz w:val="22"/>
          <w:szCs w:val="22"/>
        </w:rPr>
        <w:t xml:space="preserve"> que foi disponibilizado pela Secretaria de Previdência, nos termos do artigo 11 do Decreto º 10.188, de 2019, o novo sistema COMPREV, desenvolvido pela Empresa de Tecnologia e Informações da Previdência -DATAPREV, que tornará o processo de formalização e </w:t>
      </w:r>
      <w:r>
        <w:rPr>
          <w:rFonts w:ascii="Segoe UI" w:hAnsi="Segoe UI" w:cs="Segoe UI"/>
          <w:b/>
          <w:bCs/>
          <w:i/>
          <w:iCs/>
          <w:sz w:val="22"/>
          <w:szCs w:val="22"/>
        </w:rPr>
        <w:t>análise dos requerimentos de compensação previdenciária mais amigável, transparente e célere;</w:t>
      </w:r>
    </w:p>
    <w:p w:rsidR="009E22DE" w:rsidRDefault="009260D1">
      <w:pPr>
        <w:pStyle w:val="Standard"/>
        <w:numPr>
          <w:ilvl w:val="0"/>
          <w:numId w:val="2"/>
        </w:numPr>
        <w:spacing w:before="240"/>
        <w:ind w:left="1701" w:firstLine="0"/>
        <w:jc w:val="both"/>
        <w:rPr>
          <w:rFonts w:ascii="Segoe UI" w:hAnsi="Segoe UI" w:cs="Segoe UI"/>
          <w:b/>
          <w:bCs/>
          <w:i/>
          <w:iCs/>
          <w:sz w:val="22"/>
          <w:szCs w:val="22"/>
        </w:rPr>
      </w:pPr>
      <w:r>
        <w:rPr>
          <w:rFonts w:ascii="Segoe UI" w:hAnsi="Segoe UI" w:cs="Segoe UI"/>
          <w:b/>
          <w:bCs/>
          <w:i/>
          <w:iCs/>
          <w:sz w:val="22"/>
          <w:szCs w:val="22"/>
        </w:rPr>
        <w:t>considerando que o sistema de compensação previdenciária adota procedimentos padronizados previstos no Decreto nº 10.188, de 2019, para análise de todos os requer</w:t>
      </w:r>
      <w:r>
        <w:rPr>
          <w:rFonts w:ascii="Segoe UI" w:hAnsi="Segoe UI" w:cs="Segoe UI"/>
          <w:b/>
          <w:bCs/>
          <w:i/>
          <w:iCs/>
          <w:sz w:val="22"/>
          <w:szCs w:val="22"/>
        </w:rPr>
        <w:t>imentos formalizados, como a adoção das análises por ordem cronológica, não sendo possível a análise de requerimentos fora desta ordem;</w:t>
      </w:r>
    </w:p>
    <w:p w:rsidR="009E22DE" w:rsidRDefault="009260D1">
      <w:pPr>
        <w:pStyle w:val="Standard"/>
        <w:numPr>
          <w:ilvl w:val="0"/>
          <w:numId w:val="2"/>
        </w:numPr>
        <w:spacing w:before="240"/>
        <w:ind w:left="1701" w:firstLine="0"/>
        <w:jc w:val="both"/>
        <w:rPr>
          <w:rFonts w:ascii="Segoe UI" w:hAnsi="Segoe UI" w:cs="Segoe UI"/>
          <w:i/>
          <w:iCs/>
          <w:sz w:val="22"/>
          <w:szCs w:val="22"/>
        </w:rPr>
      </w:pPr>
      <w:r>
        <w:rPr>
          <w:rFonts w:ascii="Segoe UI" w:hAnsi="Segoe UI" w:cs="Segoe UI"/>
          <w:i/>
          <w:iCs/>
          <w:sz w:val="22"/>
          <w:szCs w:val="22"/>
        </w:rPr>
        <w:t>considerando o estabelecimento de prazo para a análise dos requerimentos, sob pena de incidência de juros e multa, confo</w:t>
      </w:r>
      <w:r>
        <w:rPr>
          <w:rFonts w:ascii="Segoe UI" w:hAnsi="Segoe UI" w:cs="Segoe UI"/>
          <w:i/>
          <w:iCs/>
          <w:sz w:val="22"/>
          <w:szCs w:val="22"/>
        </w:rPr>
        <w:t>rme art. 4º da Portaria SEPRT nº 15.829, de 2 de julho de 2020;</w:t>
      </w:r>
    </w:p>
    <w:p w:rsidR="009E22DE" w:rsidRDefault="009260D1">
      <w:pPr>
        <w:pStyle w:val="Standard"/>
        <w:numPr>
          <w:ilvl w:val="0"/>
          <w:numId w:val="2"/>
        </w:numPr>
        <w:spacing w:before="240"/>
        <w:ind w:left="1701" w:firstLine="0"/>
        <w:jc w:val="both"/>
        <w:rPr>
          <w:rFonts w:ascii="Segoe UI" w:hAnsi="Segoe UI" w:cs="Segoe UI"/>
          <w:b/>
          <w:bCs/>
          <w:i/>
          <w:iCs/>
          <w:sz w:val="22"/>
          <w:szCs w:val="22"/>
        </w:rPr>
      </w:pPr>
      <w:r>
        <w:rPr>
          <w:rFonts w:ascii="Segoe UI" w:hAnsi="Segoe UI" w:cs="Segoe UI"/>
          <w:b/>
          <w:bCs/>
          <w:i/>
          <w:iCs/>
          <w:sz w:val="22"/>
          <w:szCs w:val="22"/>
        </w:rPr>
        <w:lastRenderedPageBreak/>
        <w:t>considerando que a Secretaria de Previdência, o Instituto Nacional do Seguro Social -INSS e a DATAPREV, em parceria com entidades representativas dos RPPS, têm realizado eventos de capacitação</w:t>
      </w:r>
      <w:r>
        <w:rPr>
          <w:rFonts w:ascii="Segoe UI" w:hAnsi="Segoe UI" w:cs="Segoe UI"/>
          <w:b/>
          <w:bCs/>
          <w:i/>
          <w:iCs/>
          <w:sz w:val="22"/>
          <w:szCs w:val="22"/>
        </w:rPr>
        <w:t xml:space="preserve"> e treinamentos para os servidores dos entes federativos sobre o novo sistema COMPREV;</w:t>
      </w:r>
    </w:p>
    <w:p w:rsidR="009E22DE" w:rsidRDefault="009260D1">
      <w:pPr>
        <w:pStyle w:val="Standard"/>
        <w:numPr>
          <w:ilvl w:val="0"/>
          <w:numId w:val="2"/>
        </w:numPr>
        <w:spacing w:before="240"/>
        <w:ind w:left="1701" w:firstLine="0"/>
        <w:jc w:val="both"/>
      </w:pPr>
      <w:r>
        <w:rPr>
          <w:rFonts w:ascii="Segoe UI" w:hAnsi="Segoe UI" w:cs="Segoe UI"/>
          <w:i/>
          <w:iCs/>
          <w:sz w:val="22"/>
          <w:szCs w:val="22"/>
        </w:rPr>
        <w:t xml:space="preserve">considerando que os Tribunais de Contas têm julgado irregulares as contratações de empresas de consultoria para a operacionalização da compensação previdenciária, sob o </w:t>
      </w:r>
      <w:r>
        <w:rPr>
          <w:rFonts w:ascii="Segoe UI" w:hAnsi="Segoe UI" w:cs="Segoe UI"/>
          <w:i/>
          <w:iCs/>
          <w:sz w:val="22"/>
          <w:szCs w:val="22"/>
        </w:rPr>
        <w:t xml:space="preserve">fundamento de burla ao dispositivo constitucional do concurso público (art. 37, II da Constituição Federal), orientando a utilização de servidores públicos e a </w:t>
      </w:r>
      <w:r>
        <w:rPr>
          <w:rFonts w:ascii="Segoe UI" w:hAnsi="Segoe UI" w:cs="Segoe UI"/>
          <w:b/>
          <w:bCs/>
          <w:i/>
          <w:iCs/>
          <w:sz w:val="22"/>
          <w:szCs w:val="22"/>
        </w:rPr>
        <w:t xml:space="preserve">observância das orientações disponíveis no site da Secretaria de Previdência para utilização do </w:t>
      </w:r>
      <w:r>
        <w:rPr>
          <w:rFonts w:ascii="Segoe UI" w:hAnsi="Segoe UI" w:cs="Segoe UI"/>
          <w:b/>
          <w:bCs/>
          <w:i/>
          <w:iCs/>
          <w:sz w:val="22"/>
          <w:szCs w:val="22"/>
        </w:rPr>
        <w:t>COMPREV;</w:t>
      </w:r>
      <w:r>
        <w:rPr>
          <w:rFonts w:ascii="Segoe UI" w:hAnsi="Segoe UI" w:cs="Segoe UI"/>
          <w:i/>
          <w:iCs/>
          <w:sz w:val="22"/>
          <w:szCs w:val="22"/>
        </w:rPr>
        <w:t xml:space="preserve"> e</w:t>
      </w:r>
    </w:p>
    <w:p w:rsidR="009E22DE" w:rsidRDefault="009260D1">
      <w:pPr>
        <w:pStyle w:val="Standard"/>
        <w:numPr>
          <w:ilvl w:val="0"/>
          <w:numId w:val="2"/>
        </w:numPr>
        <w:spacing w:before="240"/>
        <w:ind w:left="1701" w:firstLine="0"/>
        <w:jc w:val="both"/>
        <w:rPr>
          <w:rFonts w:ascii="Segoe UI" w:hAnsi="Segoe UI" w:cs="Segoe UI"/>
          <w:i/>
          <w:iCs/>
          <w:sz w:val="22"/>
          <w:szCs w:val="22"/>
        </w:rPr>
      </w:pPr>
      <w:r>
        <w:rPr>
          <w:rFonts w:ascii="Segoe UI" w:hAnsi="Segoe UI" w:cs="Segoe UI"/>
          <w:i/>
          <w:iCs/>
          <w:sz w:val="22"/>
          <w:szCs w:val="22"/>
        </w:rPr>
        <w:t>considerando que o § 2º do art. 15 da Portaria MPS nº 402, de 10 de dezembro de 2008, veda a contratação de consultoria que, de forma direta ou indireta, tenha o valor contratual definido por parcela, fração ou percentual, situação verificada em</w:t>
      </w:r>
      <w:r>
        <w:rPr>
          <w:rFonts w:ascii="Segoe UI" w:hAnsi="Segoe UI" w:cs="Segoe UI"/>
          <w:i/>
          <w:iCs/>
          <w:sz w:val="22"/>
          <w:szCs w:val="22"/>
        </w:rPr>
        <w:t xml:space="preserve"> especial na celebração de "contratos de resultado", cujo critério de remuneração é estabelecido em percentual do valor da compensação recebida;</w:t>
      </w:r>
    </w:p>
    <w:p w:rsidR="009E22DE" w:rsidRDefault="009260D1">
      <w:pPr>
        <w:pStyle w:val="Standard"/>
        <w:spacing w:before="240"/>
        <w:ind w:left="1560"/>
        <w:jc w:val="right"/>
      </w:pPr>
      <w:r>
        <w:rPr>
          <w:rFonts w:ascii="Segoe UI" w:hAnsi="Segoe UI" w:cs="Segoe UI"/>
          <w:i/>
          <w:iCs/>
          <w:sz w:val="18"/>
          <w:szCs w:val="18"/>
        </w:rPr>
        <w:t xml:space="preserve">(BRASIL. Recomendação CNRPPS/ME nº 1, de 15 de março de 2021. Diário Oficial da União, Brasília, DF, n. 51, 17 </w:t>
      </w:r>
      <w:r>
        <w:rPr>
          <w:rFonts w:ascii="Segoe UI" w:hAnsi="Segoe UI" w:cs="Segoe UI"/>
          <w:i/>
          <w:iCs/>
          <w:sz w:val="18"/>
          <w:szCs w:val="18"/>
        </w:rPr>
        <w:t>março 2021. Seção I, p.60. Disponível em &lt;</w:t>
      </w:r>
      <w:r>
        <w:t xml:space="preserve"> </w:t>
      </w:r>
      <w:hyperlink r:id="rId8">
        <w:r>
          <w:rPr>
            <w:rStyle w:val="LinkdaInternet"/>
            <w:rFonts w:ascii="Segoe UI" w:hAnsi="Segoe UI" w:cs="Segoe UI"/>
            <w:i/>
            <w:iCs/>
            <w:sz w:val="18"/>
            <w:szCs w:val="18"/>
          </w:rPr>
          <w:t>https://in.gov.br/web/dou/-/recomendacao-cnrpps/me-n-1-de-15-de-marco-de-2021-308985174</w:t>
        </w:r>
      </w:hyperlink>
      <w:r>
        <w:rPr>
          <w:rFonts w:ascii="Segoe UI" w:hAnsi="Segoe UI" w:cs="Segoe UI"/>
          <w:i/>
          <w:iCs/>
          <w:sz w:val="18"/>
          <w:szCs w:val="18"/>
        </w:rPr>
        <w:t>&gt;. Grifos nossos)</w:t>
      </w:r>
      <w:r>
        <w:rPr>
          <w:rFonts w:ascii="Segoe UI" w:hAnsi="Segoe UI" w:cs="Segoe UI"/>
          <w:sz w:val="22"/>
          <w:szCs w:val="22"/>
        </w:rPr>
        <w:t xml:space="preserve"> </w:t>
      </w:r>
    </w:p>
    <w:p w:rsidR="009E22DE" w:rsidRDefault="009260D1">
      <w:pPr>
        <w:pStyle w:val="Standard"/>
        <w:spacing w:before="240"/>
        <w:jc w:val="both"/>
      </w:pPr>
      <w:r>
        <w:rPr>
          <w:rFonts w:ascii="Segoe UI" w:hAnsi="Segoe UI" w:cs="Segoe UI"/>
          <w:sz w:val="22"/>
          <w:szCs w:val="22"/>
        </w:rPr>
        <w:t xml:space="preserve">Atualmente, conforme dados extraídos do Indicador de Situação Previdenciária – ISP publicado no exercício de </w:t>
      </w:r>
      <w:r>
        <w:rPr>
          <w:rFonts w:ascii="Segoe UI" w:hAnsi="Segoe UI" w:cs="Segoe UI"/>
          <w:sz w:val="22"/>
          <w:szCs w:val="22"/>
          <w:shd w:val="clear" w:color="auto" w:fill="FFFF00"/>
        </w:rPr>
        <w:t>&lt;0000&gt;</w:t>
      </w:r>
      <w:r>
        <w:rPr>
          <w:rFonts w:ascii="Segoe UI" w:hAnsi="Segoe UI" w:cs="Segoe UI"/>
          <w:sz w:val="22"/>
          <w:szCs w:val="22"/>
        </w:rPr>
        <w:t xml:space="preserve">, este </w:t>
      </w:r>
      <w:r>
        <w:rPr>
          <w:rFonts w:ascii="Segoe UI" w:hAnsi="Segoe UI" w:cs="Segoe UI"/>
          <w:sz w:val="22"/>
          <w:szCs w:val="22"/>
          <w:shd w:val="clear" w:color="auto" w:fill="FFFF00"/>
        </w:rPr>
        <w:t>&lt;Denominação do RPPS&gt;</w:t>
      </w:r>
      <w:r>
        <w:rPr>
          <w:rFonts w:ascii="Segoe UI" w:hAnsi="Segoe UI" w:cs="Segoe UI"/>
          <w:sz w:val="22"/>
          <w:szCs w:val="22"/>
        </w:rPr>
        <w:t xml:space="preserve"> possui </w:t>
      </w:r>
      <w:r>
        <w:rPr>
          <w:rFonts w:ascii="Segoe UI" w:hAnsi="Segoe UI" w:cs="Segoe UI"/>
          <w:sz w:val="22"/>
          <w:szCs w:val="22"/>
          <w:shd w:val="clear" w:color="auto" w:fill="FFFF00"/>
        </w:rPr>
        <w:t>&lt;00000&gt;</w:t>
      </w:r>
      <w:r>
        <w:rPr>
          <w:rFonts w:ascii="Segoe UI" w:hAnsi="Segoe UI" w:cs="Segoe UI"/>
          <w:sz w:val="22"/>
          <w:szCs w:val="22"/>
        </w:rPr>
        <w:t xml:space="preserve"> segurados e beneficiários vinculados ao Regime Próprio de Previdência Social – RPPS, se enquadran</w:t>
      </w:r>
      <w:r>
        <w:rPr>
          <w:rFonts w:ascii="Segoe UI" w:hAnsi="Segoe UI" w:cs="Segoe UI"/>
          <w:sz w:val="22"/>
          <w:szCs w:val="22"/>
        </w:rPr>
        <w:t>do, portanto, nas condições que o obrigam a realizar a compensação financeira prevista na Lei 9796/1999 e regulamentada pelo Decreto 10.188/2019.</w:t>
      </w:r>
    </w:p>
    <w:p w:rsidR="009E22DE" w:rsidRDefault="009260D1">
      <w:pPr>
        <w:pStyle w:val="Standard"/>
        <w:spacing w:before="240"/>
        <w:jc w:val="both"/>
      </w:pPr>
      <w:r>
        <w:rPr>
          <w:rFonts w:ascii="Segoe UI" w:hAnsi="Segoe UI" w:cs="Segoe UI"/>
          <w:sz w:val="22"/>
          <w:szCs w:val="22"/>
        </w:rPr>
        <w:t>Depreende-se pelo exposto que a contratação objeto deste Projeto Básico se configura como uma imprescindível n</w:t>
      </w:r>
      <w:r>
        <w:rPr>
          <w:rFonts w:ascii="Segoe UI" w:hAnsi="Segoe UI" w:cs="Segoe UI"/>
          <w:sz w:val="22"/>
          <w:szCs w:val="22"/>
        </w:rPr>
        <w:t xml:space="preserve">ecessidade para viabilizar o tempestivo cumprimento dos dispositivos legais e regulamentares aos quais se sujeita este </w:t>
      </w:r>
      <w:r>
        <w:rPr>
          <w:rFonts w:ascii="Segoe UI" w:hAnsi="Segoe UI" w:cs="Segoe UI"/>
          <w:sz w:val="22"/>
          <w:szCs w:val="22"/>
          <w:shd w:val="clear" w:color="auto" w:fill="FFFF00"/>
        </w:rPr>
        <w:t>&lt;Denominação do RPPS&gt;</w:t>
      </w:r>
      <w:r>
        <w:rPr>
          <w:rFonts w:ascii="Segoe UI" w:hAnsi="Segoe UI" w:cs="Segoe UI"/>
          <w:sz w:val="22"/>
          <w:szCs w:val="22"/>
        </w:rPr>
        <w:t xml:space="preserve"> e evitar as sanções impostas pelo seu descumprimento.</w:t>
      </w:r>
    </w:p>
    <w:p w:rsidR="009E22DE" w:rsidRDefault="009E22DE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</w:p>
    <w:p w:rsidR="009E22DE" w:rsidRDefault="009260D1">
      <w:pPr>
        <w:pStyle w:val="Ttulo2"/>
      </w:pPr>
      <w:bookmarkStart w:id="19" w:name="_Toc75782288"/>
      <w:r>
        <w:t>3.1</w:t>
      </w:r>
      <w:r>
        <w:tab/>
        <w:t>Alinhamento Estratégico</w:t>
      </w:r>
      <w:bookmarkEnd w:id="19"/>
    </w:p>
    <w:p w:rsidR="009E22DE" w:rsidRDefault="009260D1">
      <w:pPr>
        <w:pStyle w:val="Standard"/>
        <w:spacing w:before="240"/>
        <w:jc w:val="both"/>
      </w:pPr>
      <w:r>
        <w:rPr>
          <w:rFonts w:ascii="Segoe UI" w:hAnsi="Segoe UI" w:cs="Segoe UI"/>
          <w:sz w:val="22"/>
          <w:szCs w:val="22"/>
        </w:rPr>
        <w:t>A contratação está alinhada ao P</w:t>
      </w:r>
      <w:r>
        <w:rPr>
          <w:rFonts w:ascii="Segoe UI" w:hAnsi="Segoe UI" w:cs="Segoe UI"/>
          <w:sz w:val="22"/>
          <w:szCs w:val="22"/>
        </w:rPr>
        <w:t xml:space="preserve">lanejamento Estratégico do </w:t>
      </w:r>
      <w:r>
        <w:rPr>
          <w:rFonts w:ascii="Segoe UI" w:hAnsi="Segoe UI" w:cs="Segoe UI"/>
          <w:sz w:val="22"/>
          <w:szCs w:val="22"/>
          <w:shd w:val="clear" w:color="auto" w:fill="FFFF00"/>
        </w:rPr>
        <w:t>&lt;Denominação do RPPS&gt;</w:t>
      </w:r>
      <w:r>
        <w:rPr>
          <w:rFonts w:ascii="Segoe UI" w:hAnsi="Segoe UI" w:cs="Segoe UI"/>
          <w:sz w:val="22"/>
          <w:szCs w:val="22"/>
        </w:rPr>
        <w:t xml:space="preserve">, para o ano de 202X. </w:t>
      </w:r>
      <w:r>
        <w:rPr>
          <w:rFonts w:ascii="Segoe UI" w:hAnsi="Segoe UI" w:cs="Segoe UI"/>
          <w:sz w:val="22"/>
          <w:szCs w:val="22"/>
          <w:shd w:val="clear" w:color="auto" w:fill="FFFF00"/>
        </w:rPr>
        <w:t>&lt;Inserir os instrumentos de alinhamento estratégico do RPPS&gt;</w:t>
      </w:r>
    </w:p>
    <w:p w:rsidR="009E22DE" w:rsidRDefault="009E22DE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</w:p>
    <w:p w:rsidR="009E22DE" w:rsidRDefault="009260D1">
      <w:pPr>
        <w:pStyle w:val="Ttulo1"/>
      </w:pPr>
      <w:bookmarkStart w:id="20" w:name="_Toc75782289"/>
      <w:r>
        <w:lastRenderedPageBreak/>
        <w:t>4</w:t>
      </w:r>
      <w:r>
        <w:tab/>
        <w:t>Especificação dos Requisitos da Contratação</w:t>
      </w:r>
      <w:bookmarkEnd w:id="20"/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Em consonância com o Art. 10º do Decreto 10.188/2019, a Secretaria Especial de</w:t>
      </w:r>
      <w:r>
        <w:rPr>
          <w:rFonts w:ascii="Segoe UI" w:hAnsi="Segoe UI" w:cs="Segoe UI"/>
          <w:sz w:val="22"/>
          <w:szCs w:val="22"/>
        </w:rPr>
        <w:t xml:space="preserve"> Previdência e Trabalho do Ministério da Economia atuou para disponibilizar sistema de compensação previdenciária destinado a manter atualizado o cadastro de todos os benefícios objeto de compensação financeira e a apurar o montante devido pelos regimes. C</w:t>
      </w:r>
      <w:r>
        <w:rPr>
          <w:rFonts w:ascii="Segoe UI" w:hAnsi="Segoe UI" w:cs="Segoe UI"/>
          <w:sz w:val="22"/>
          <w:szCs w:val="22"/>
        </w:rPr>
        <w:t>omplementarmente, conforme disposto no Inciso VI do Art. 18º do Decreto 10.188/2019, compete ao Conselho Nacional dos Regimes Próprios de Previdência Social participar da definição e acompanhar o desenvolvimento de sistemas relativos aos RPPS e à compensaç</w:t>
      </w:r>
      <w:r>
        <w:rPr>
          <w:rFonts w:ascii="Segoe UI" w:hAnsi="Segoe UI" w:cs="Segoe UI"/>
          <w:sz w:val="22"/>
          <w:szCs w:val="22"/>
        </w:rPr>
        <w:t>ão previdenciária.</w:t>
      </w:r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Neste sentido, conforme citado no Ofício Circular SEI nº 4114/2020/ME da SEPTR/ME, já em final de 2020 a Secretaria de Previdência informou que vinha atuando junto com o INSS e representantes de entes federativos na especificação, desenv</w:t>
      </w:r>
      <w:r>
        <w:rPr>
          <w:rFonts w:ascii="Segoe UI" w:hAnsi="Segoe UI" w:cs="Segoe UI"/>
          <w:sz w:val="22"/>
          <w:szCs w:val="22"/>
        </w:rPr>
        <w:t>olvimento e homologação de um novo sistema para compensação previdenciária prevista no § 9º do art. 201, da Constituição Federal e na Lei nº 9.796, de 05 de maio de 1999. Reforçou ainda que este novo sistema possibilitaria dar continuidade à melhoria dos p</w:t>
      </w:r>
      <w:r>
        <w:rPr>
          <w:rFonts w:ascii="Segoe UI" w:hAnsi="Segoe UI" w:cs="Segoe UI"/>
          <w:sz w:val="22"/>
          <w:szCs w:val="22"/>
        </w:rPr>
        <w:t>rocessos e procedimentos da compensação previdenciária, iniciada com a edição do Decreto nº 10.188, de 20 de dezembro de 2019.</w:t>
      </w:r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Neste sentido, os requisitos do serviço objeto da presente contratação seguem as definições estabelecidas conforme exposto acima,</w:t>
      </w:r>
      <w:r>
        <w:rPr>
          <w:rFonts w:ascii="Segoe UI" w:hAnsi="Segoe UI" w:cs="Segoe UI"/>
          <w:sz w:val="22"/>
          <w:szCs w:val="22"/>
        </w:rPr>
        <w:t xml:space="preserve"> sendo possível contudo indicar algumas funcionalidades essenciais já apresentadas pelos envolvidos, transcritas a seguir:</w:t>
      </w:r>
    </w:p>
    <w:p w:rsidR="009E22DE" w:rsidRDefault="009E22DE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</w:p>
    <w:p w:rsidR="009E22DE" w:rsidRDefault="009260D1">
      <w:pPr>
        <w:pStyle w:val="Ttulo2"/>
      </w:pPr>
      <w:bookmarkStart w:id="21" w:name="_Toc75782290"/>
      <w:r>
        <w:t>4.1</w:t>
      </w:r>
      <w:r>
        <w:tab/>
        <w:t>Composição do Serviço</w:t>
      </w:r>
      <w:bookmarkEnd w:id="21"/>
      <w:r>
        <w:t xml:space="preserve"> </w:t>
      </w:r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Dentre as funcionalidades do COMPREV, é possível destacar as mais relevantes, descritas abaixo:</w:t>
      </w:r>
    </w:p>
    <w:p w:rsidR="009E22DE" w:rsidRDefault="009E22DE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</w:p>
    <w:p w:rsidR="009E22DE" w:rsidRDefault="009260D1">
      <w:pPr>
        <w:pStyle w:val="Ttulo3"/>
      </w:pPr>
      <w:bookmarkStart w:id="22" w:name="_Toc75782291"/>
      <w:r>
        <w:t>4.1.1</w:t>
      </w:r>
      <w:r>
        <w:tab/>
        <w:t>Tr</w:t>
      </w:r>
      <w:r>
        <w:t>atamento do requerimento de compensação de aposentadoria e pensão</w:t>
      </w:r>
      <w:bookmarkEnd w:id="22"/>
      <w:r>
        <w:t xml:space="preserve">  </w:t>
      </w:r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Permite ao participante da compensação (RGPS ou RPPS) realizar todas as ações para entrada de dados do requerimento e sua análise.  </w:t>
      </w:r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Além de tela online disponibilizada na Internet para a </w:t>
      </w:r>
      <w:r>
        <w:rPr>
          <w:rFonts w:ascii="Segoe UI" w:hAnsi="Segoe UI" w:cs="Segoe UI"/>
          <w:sz w:val="22"/>
          <w:szCs w:val="22"/>
        </w:rPr>
        <w:t xml:space="preserve">abertura manual do requerimento, também estará disponível uma API para que os participantes da compensação possam fazer integração por meio de seus sistemas. </w:t>
      </w:r>
    </w:p>
    <w:p w:rsidR="009E22DE" w:rsidRDefault="009E22DE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</w:p>
    <w:p w:rsidR="009E22DE" w:rsidRDefault="009260D1">
      <w:pPr>
        <w:pStyle w:val="Ttulo3"/>
      </w:pPr>
      <w:bookmarkStart w:id="23" w:name="_Toc75782292"/>
      <w:r>
        <w:lastRenderedPageBreak/>
        <w:t>4.1.2</w:t>
      </w:r>
      <w:r>
        <w:tab/>
        <w:t>Cálculo da compensação</w:t>
      </w:r>
      <w:bookmarkEnd w:id="23"/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Realização do cálculo da compensação entre os participantes, a partir da simulação das rendas: mensal inicial de RGPS anterior a 88  para requerimento aposentadoria, mensal inicial de RGPS posterior a 88  para requerimento aposentadoria, mensal inicial de </w:t>
      </w:r>
      <w:r>
        <w:rPr>
          <w:rFonts w:ascii="Segoe UI" w:hAnsi="Segoe UI" w:cs="Segoe UI"/>
          <w:sz w:val="22"/>
          <w:szCs w:val="22"/>
        </w:rPr>
        <w:t xml:space="preserve">RGPS para requerimento de pensão, mensal inicial de RPPS anterior a 2004  para requerimento aposentadoria, mensal inicial de RPPS posterior a 2004  para requerimento aposentadoria, mensal inicial de RPPS para requerimento de pensão e o cálculo do pró-rata </w:t>
      </w:r>
      <w:r>
        <w:rPr>
          <w:rFonts w:ascii="Segoe UI" w:hAnsi="Segoe UI" w:cs="Segoe UI"/>
          <w:sz w:val="22"/>
          <w:szCs w:val="22"/>
        </w:rPr>
        <w:t xml:space="preserve">inicial. </w:t>
      </w:r>
    </w:p>
    <w:p w:rsidR="009E22DE" w:rsidRDefault="009E22DE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</w:p>
    <w:p w:rsidR="009E22DE" w:rsidRDefault="009260D1">
      <w:pPr>
        <w:pStyle w:val="Ttulo3"/>
      </w:pPr>
      <w:bookmarkStart w:id="24" w:name="_Toc75782293"/>
      <w:r>
        <w:t>4.1.3</w:t>
      </w:r>
      <w:r>
        <w:tab/>
        <w:t>Pagamento</w:t>
      </w:r>
      <w:bookmarkEnd w:id="24"/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Realização do pagamento e controle da compensação, acompanhando e verificando os pagamentos realizados entre as partes. </w:t>
      </w:r>
    </w:p>
    <w:p w:rsidR="009E22DE" w:rsidRDefault="009E22DE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</w:p>
    <w:p w:rsidR="009E22DE" w:rsidRDefault="009260D1">
      <w:pPr>
        <w:pStyle w:val="Ttulo3"/>
      </w:pPr>
      <w:bookmarkStart w:id="25" w:name="_Toc75782294"/>
      <w:r>
        <w:t>4.1.4</w:t>
      </w:r>
      <w:r>
        <w:tab/>
        <w:t>Relatórios de Gestão</w:t>
      </w:r>
      <w:bookmarkEnd w:id="25"/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Realização de consultas dinâmicas, pré-definidas e exibição de gráficos que </w:t>
      </w:r>
      <w:r>
        <w:rPr>
          <w:rFonts w:ascii="Segoe UI" w:hAnsi="Segoe UI" w:cs="Segoe UI"/>
          <w:sz w:val="22"/>
          <w:szCs w:val="22"/>
        </w:rPr>
        <w:t>auxiliam na gestão da compensação pelos regimes.</w:t>
      </w:r>
    </w:p>
    <w:p w:rsidR="009E22DE" w:rsidRDefault="009E22DE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</w:p>
    <w:p w:rsidR="009E22DE" w:rsidRDefault="009260D1">
      <w:pPr>
        <w:pStyle w:val="Ttulo3"/>
      </w:pPr>
      <w:bookmarkStart w:id="26" w:name="_Toc75782295"/>
      <w:r>
        <w:t>4.1.5</w:t>
      </w:r>
      <w:r>
        <w:tab/>
        <w:t>Revisão</w:t>
      </w:r>
      <w:bookmarkEnd w:id="26"/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Revisão de uma compensação e dos valores pagos pela mesma ocasionada por alterações no benefício que possam alterar o valor utilizado no cálculo.</w:t>
      </w:r>
    </w:p>
    <w:p w:rsidR="009E22DE" w:rsidRDefault="009E22DE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</w:p>
    <w:p w:rsidR="009E22DE" w:rsidRDefault="009260D1">
      <w:pPr>
        <w:pStyle w:val="Ttulo3"/>
      </w:pPr>
      <w:bookmarkStart w:id="27" w:name="_Toc75782296"/>
      <w:r>
        <w:t>4.1.6</w:t>
      </w:r>
      <w:r>
        <w:tab/>
        <w:t>Reabertura do Requerimento</w:t>
      </w:r>
      <w:bookmarkEnd w:id="27"/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Possibilita </w:t>
      </w:r>
      <w:r>
        <w:rPr>
          <w:rFonts w:ascii="Segoe UI" w:hAnsi="Segoe UI" w:cs="Segoe UI"/>
          <w:sz w:val="22"/>
          <w:szCs w:val="22"/>
        </w:rPr>
        <w:t>reabrir um requerimento de compensação anteriormente indeferido na análise.</w:t>
      </w:r>
    </w:p>
    <w:p w:rsidR="009E22DE" w:rsidRDefault="009E22DE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</w:p>
    <w:p w:rsidR="009E22DE" w:rsidRDefault="009260D1">
      <w:pPr>
        <w:pStyle w:val="Ttulo3"/>
      </w:pPr>
      <w:bookmarkStart w:id="28" w:name="_Toc75782297"/>
      <w:r>
        <w:t>4.1.7</w:t>
      </w:r>
      <w:r>
        <w:tab/>
        <w:t>Análise Automática</w:t>
      </w:r>
      <w:bookmarkEnd w:id="28"/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Idealmente, o COMPREV terá acesso aos dados da CTC (Certidão de Tempo de Contribuição) e HTC (Homologação do Tribunal de Contas) de forma eletrônica e con</w:t>
      </w:r>
      <w:r>
        <w:rPr>
          <w:rFonts w:ascii="Segoe UI" w:hAnsi="Segoe UI" w:cs="Segoe UI"/>
          <w:sz w:val="22"/>
          <w:szCs w:val="22"/>
        </w:rPr>
        <w:t xml:space="preserve">fiável. A partir desse momento, será possível que o próprio sistema valide as informações necessárias à compensação realizando de forma automática a análise do requerimento. </w:t>
      </w:r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As funcionalidades descritas são exemplificativas pois encontram-se melhor detalh</w:t>
      </w:r>
      <w:r>
        <w:rPr>
          <w:rFonts w:ascii="Segoe UI" w:hAnsi="Segoe UI" w:cs="Segoe UI"/>
          <w:sz w:val="22"/>
          <w:szCs w:val="22"/>
        </w:rPr>
        <w:t>adas e atualizadas no Modelo de Negócio do COMPREV disponibilizado pela empresa de tecnologia responsável pelo desenvolvimento do sistema de compensação previdenciária, conforme requisitos definidos pela Secretaria de Previdência em conjunto com o CNRPPS.</w:t>
      </w:r>
    </w:p>
    <w:p w:rsidR="009E22DE" w:rsidRDefault="009E22DE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</w:p>
    <w:p w:rsidR="009E22DE" w:rsidRDefault="009260D1">
      <w:pPr>
        <w:pStyle w:val="Ttulo1"/>
      </w:pPr>
      <w:bookmarkStart w:id="29" w:name="_Toc75782298"/>
      <w:bookmarkStart w:id="30" w:name="_Toc75718663"/>
      <w:r>
        <w:t xml:space="preserve">5 </w:t>
      </w:r>
      <w:r>
        <w:tab/>
        <w:t>Deveres e Responsabilidades</w:t>
      </w:r>
      <w:bookmarkEnd w:id="29"/>
      <w:bookmarkEnd w:id="30"/>
    </w:p>
    <w:p w:rsidR="009E22DE" w:rsidRDefault="009260D1">
      <w:pPr>
        <w:pStyle w:val="Standard"/>
        <w:spacing w:before="240"/>
        <w:jc w:val="both"/>
      </w:pPr>
      <w:r>
        <w:rPr>
          <w:rFonts w:ascii="Segoe UI" w:hAnsi="Segoe UI" w:cs="Segoe UI"/>
          <w:sz w:val="22"/>
          <w:szCs w:val="22"/>
        </w:rPr>
        <w:t>Os deveres e responsabilidades das partes são aqueles previstos no Contrato de Adesão ao Sistema COMPREV, padronizado pela Dataprev em virtude do expressivo volume de contratações e aprovado pelo Conselho Nacional dos Regime</w:t>
      </w:r>
      <w:r>
        <w:rPr>
          <w:rFonts w:ascii="Segoe UI" w:hAnsi="Segoe UI" w:cs="Segoe UI"/>
          <w:sz w:val="22"/>
          <w:szCs w:val="22"/>
        </w:rPr>
        <w:t xml:space="preserve">s Próprios de Previdência Social, por meio de deliberação dos Conselheiros do CNRPPS publicada na </w:t>
      </w:r>
      <w:r>
        <w:rPr>
          <w:rFonts w:ascii="Segoe UI" w:hAnsi="Segoe UI" w:cs="Segoe UI"/>
          <w:sz w:val="22"/>
          <w:szCs w:val="22"/>
          <w:shd w:val="clear" w:color="auto" w:fill="FFFF00"/>
        </w:rPr>
        <w:t>Resolução CNRPPS/ME nº 00, de 00 de xxxxxx de 2021.</w:t>
      </w:r>
    </w:p>
    <w:p w:rsidR="009E22DE" w:rsidRDefault="009E22DE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</w:p>
    <w:p w:rsidR="009E22DE" w:rsidRDefault="009260D1">
      <w:pPr>
        <w:pStyle w:val="Ttulo1"/>
      </w:pPr>
      <w:bookmarkStart w:id="31" w:name="_Toc75782299"/>
      <w:r>
        <w:t>6</w:t>
      </w:r>
      <w:r>
        <w:tab/>
        <w:t>Modelo de Execução e Gestão Contratual</w:t>
      </w:r>
      <w:bookmarkEnd w:id="31"/>
    </w:p>
    <w:p w:rsidR="009E22DE" w:rsidRDefault="009260D1">
      <w:pPr>
        <w:pStyle w:val="Standard"/>
        <w:spacing w:before="240"/>
        <w:jc w:val="both"/>
      </w:pPr>
      <w:r>
        <w:rPr>
          <w:rFonts w:ascii="Segoe UI" w:hAnsi="Segoe UI" w:cs="Segoe UI"/>
          <w:sz w:val="22"/>
          <w:szCs w:val="22"/>
        </w:rPr>
        <w:t>Os serviços se encontram especificados no Modelo de Negócio cons</w:t>
      </w:r>
      <w:r>
        <w:rPr>
          <w:rFonts w:ascii="Segoe UI" w:hAnsi="Segoe UI" w:cs="Segoe UI"/>
          <w:sz w:val="22"/>
          <w:szCs w:val="22"/>
        </w:rPr>
        <w:t>tante no Anexo I do Contrato de Adesão ao Sistema Comprev, padronizado pela Dataprev em virtude do expressivo volume de contratações e aprovado pelo Conselho Nacional dos Regimes Próprios de Previdência Social, por meio de deliberação dos Conselheiros do C</w:t>
      </w:r>
      <w:r>
        <w:rPr>
          <w:rFonts w:ascii="Segoe UI" w:hAnsi="Segoe UI" w:cs="Segoe UI"/>
          <w:sz w:val="22"/>
          <w:szCs w:val="22"/>
        </w:rPr>
        <w:t xml:space="preserve">NRPPS publicada na </w:t>
      </w:r>
      <w:r>
        <w:rPr>
          <w:rFonts w:ascii="Segoe UI" w:hAnsi="Segoe UI" w:cs="Segoe UI"/>
          <w:sz w:val="22"/>
          <w:szCs w:val="22"/>
          <w:shd w:val="clear" w:color="auto" w:fill="FFFF00"/>
        </w:rPr>
        <w:t>Resolução CNRPPS/ME nº 00, de 00 de xxxxxx de 2021.</w:t>
      </w:r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 Modelo de Negócio prevê as condições necessárias ao fornecimento da solução de TIC, incluindo:</w:t>
      </w:r>
    </w:p>
    <w:p w:rsidR="009E22DE" w:rsidRDefault="009260D1">
      <w:pPr>
        <w:pStyle w:val="Standard"/>
        <w:numPr>
          <w:ilvl w:val="0"/>
          <w:numId w:val="3"/>
        </w:numPr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Suporte Operacional do Serviço e procedimentos para comunicação e acompanhamento de inci</w:t>
      </w:r>
      <w:r>
        <w:rPr>
          <w:rFonts w:ascii="Segoe UI" w:hAnsi="Segoe UI" w:cs="Segoe UI"/>
          <w:sz w:val="22"/>
          <w:szCs w:val="22"/>
        </w:rPr>
        <w:t>dentes ou indisponibilidades por meio de plataforma eletrônica;</w:t>
      </w:r>
    </w:p>
    <w:p w:rsidR="009E22DE" w:rsidRDefault="009260D1">
      <w:pPr>
        <w:pStyle w:val="Standard"/>
        <w:numPr>
          <w:ilvl w:val="0"/>
          <w:numId w:val="3"/>
        </w:numPr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Níveis do Serviço ofertado incluindo os regimes de operações conforme horários e dias de semana, considerando registros de incidentes e metas de disponibilidade;</w:t>
      </w:r>
    </w:p>
    <w:p w:rsidR="009E22DE" w:rsidRDefault="009260D1">
      <w:pPr>
        <w:pStyle w:val="Standard"/>
        <w:numPr>
          <w:ilvl w:val="0"/>
          <w:numId w:val="3"/>
        </w:numPr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Cálculo do Índice de </w:t>
      </w:r>
      <w:r>
        <w:rPr>
          <w:rFonts w:ascii="Segoe UI" w:hAnsi="Segoe UI" w:cs="Segoe UI"/>
          <w:sz w:val="22"/>
          <w:szCs w:val="22"/>
        </w:rPr>
        <w:t>Disponibilidade e outras medidas de qualidade de serviço;</w:t>
      </w:r>
    </w:p>
    <w:p w:rsidR="009E22DE" w:rsidRDefault="009260D1">
      <w:pPr>
        <w:pStyle w:val="Standard"/>
        <w:numPr>
          <w:ilvl w:val="0"/>
          <w:numId w:val="3"/>
        </w:numPr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Prazos para atendimento;</w:t>
      </w:r>
    </w:p>
    <w:p w:rsidR="009E22DE" w:rsidRDefault="009260D1">
      <w:pPr>
        <w:pStyle w:val="Standard"/>
        <w:numPr>
          <w:ilvl w:val="0"/>
          <w:numId w:val="3"/>
        </w:numPr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Meios de comunicação</w:t>
      </w:r>
    </w:p>
    <w:p w:rsidR="009E22DE" w:rsidRDefault="009260D1">
      <w:pPr>
        <w:pStyle w:val="Standard"/>
        <w:numPr>
          <w:ilvl w:val="0"/>
          <w:numId w:val="3"/>
        </w:numPr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Requisitos de Segurança;</w:t>
      </w:r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O Contrato de Adesão ao Sistema COMPREV apresentado pela empresa de tecnologia responsável pelo desenvolvimento do sistema de c</w:t>
      </w:r>
      <w:r>
        <w:rPr>
          <w:rFonts w:ascii="Segoe UI" w:hAnsi="Segoe UI" w:cs="Segoe UI"/>
          <w:sz w:val="22"/>
          <w:szCs w:val="22"/>
        </w:rPr>
        <w:t>ompensação previdenciária e aprovado pelo CNRPPS apresenta o modelo de gestão contratual, incluindo:</w:t>
      </w:r>
    </w:p>
    <w:p w:rsidR="009E22DE" w:rsidRDefault="009260D1">
      <w:pPr>
        <w:pStyle w:val="Standard"/>
        <w:numPr>
          <w:ilvl w:val="0"/>
          <w:numId w:val="4"/>
        </w:numPr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Procedimentos para apuração dos serviços;</w:t>
      </w:r>
    </w:p>
    <w:p w:rsidR="009E22DE" w:rsidRDefault="009260D1">
      <w:pPr>
        <w:pStyle w:val="Standard"/>
        <w:numPr>
          <w:ilvl w:val="0"/>
          <w:numId w:val="4"/>
        </w:numPr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Prazos e procedimentos para o recebimento dos serviços;</w:t>
      </w:r>
    </w:p>
    <w:p w:rsidR="009E22DE" w:rsidRDefault="009260D1">
      <w:pPr>
        <w:pStyle w:val="Standard"/>
        <w:numPr>
          <w:ilvl w:val="0"/>
          <w:numId w:val="4"/>
        </w:numPr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Prazos e procedimentos para pagamento dos serviços;</w:t>
      </w:r>
    </w:p>
    <w:p w:rsidR="009E22DE" w:rsidRDefault="009260D1">
      <w:pPr>
        <w:pStyle w:val="Standard"/>
        <w:numPr>
          <w:ilvl w:val="0"/>
          <w:numId w:val="4"/>
        </w:numPr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Sançõ</w:t>
      </w:r>
      <w:r>
        <w:rPr>
          <w:rFonts w:ascii="Segoe UI" w:hAnsi="Segoe UI" w:cs="Segoe UI"/>
          <w:sz w:val="22"/>
          <w:szCs w:val="22"/>
        </w:rPr>
        <w:t>es Administrativas;</w:t>
      </w:r>
    </w:p>
    <w:p w:rsidR="009E22DE" w:rsidRDefault="009E22DE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</w:p>
    <w:p w:rsidR="009E22DE" w:rsidRDefault="009260D1">
      <w:pPr>
        <w:pStyle w:val="Ttulo1"/>
      </w:pPr>
      <w:bookmarkStart w:id="32" w:name="_Toc75782300"/>
      <w:bookmarkStart w:id="33" w:name="_Toc75718664"/>
      <w:bookmarkStart w:id="34" w:name="_Toc74213072"/>
      <w:r>
        <w:t xml:space="preserve">7 </w:t>
      </w:r>
      <w:r>
        <w:tab/>
        <w:t>Estimativa de Valor e Dotação Orçamentária</w:t>
      </w:r>
      <w:bookmarkEnd w:id="32"/>
      <w:bookmarkEnd w:id="33"/>
      <w:bookmarkEnd w:id="34"/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 Conselho Nacional dos Regimes Próprios de Previdência Social, tendo em vista o disposto no § 2º Art. 10 e do Art. 18 do Decreto 10.188, definiu por meio da Resolução CNRPPS/ME nº 2, de 14</w:t>
      </w:r>
      <w:r>
        <w:rPr>
          <w:rFonts w:ascii="Segoe UI" w:hAnsi="Segoe UI" w:cs="Segoe UI"/>
          <w:sz w:val="22"/>
          <w:szCs w:val="22"/>
        </w:rPr>
        <w:t xml:space="preserve"> de maio de 2021 os valores das taxas mensais de custeio para utilização do sistema COMPREV a ser paga por cada regime instituidor de acordo com a quantidade de segurados e beneficiários vinculados ao Regime Próprio de Previdência Social - RPPS do respecti</w:t>
      </w:r>
      <w:r>
        <w:rPr>
          <w:rFonts w:ascii="Segoe UI" w:hAnsi="Segoe UI" w:cs="Segoe UI"/>
          <w:sz w:val="22"/>
          <w:szCs w:val="22"/>
        </w:rPr>
        <w:t>vo ente federativo. A tabela de valores, transcrita a seguir, será calculada conforme dados extraídos do Indicador de Situação Previdenciária - ISP publicado no exercício anterior, previsto no inciso V do art. 30 da Portaria MPS nº 402, de 10 de dezembro d</w:t>
      </w:r>
      <w:r>
        <w:rPr>
          <w:rFonts w:ascii="Segoe UI" w:hAnsi="Segoe UI" w:cs="Segoe UI"/>
          <w:sz w:val="22"/>
          <w:szCs w:val="22"/>
        </w:rPr>
        <w:t>e 2008, e calculado conforme disposto na Portaria SPREV/ME nº 14.762, de 19 de junho de 2020:</w:t>
      </w:r>
    </w:p>
    <w:p w:rsidR="009E22DE" w:rsidRDefault="009260D1">
      <w:pPr>
        <w:pStyle w:val="Standard"/>
        <w:spacing w:before="240"/>
        <w:jc w:val="both"/>
      </w:pPr>
      <w:r>
        <w:rPr>
          <w:noProof/>
          <w:lang w:eastAsia="pt-BR" w:bidi="ar-SA"/>
        </w:rPr>
        <w:drawing>
          <wp:inline distT="0" distB="0" distL="0" distR="0">
            <wp:extent cx="6120130" cy="22733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2DE" w:rsidRDefault="009260D1">
      <w:pPr>
        <w:pStyle w:val="Standard"/>
        <w:spacing w:before="240"/>
        <w:jc w:val="both"/>
      </w:pPr>
      <w:r>
        <w:rPr>
          <w:rFonts w:ascii="Segoe UI" w:hAnsi="Segoe UI" w:cs="Segoe UI"/>
          <w:sz w:val="22"/>
          <w:szCs w:val="22"/>
        </w:rPr>
        <w:lastRenderedPageBreak/>
        <w:t xml:space="preserve">Conforme o ISP do ano de </w:t>
      </w:r>
      <w:r>
        <w:rPr>
          <w:rFonts w:ascii="Segoe UI" w:hAnsi="Segoe UI" w:cs="Segoe UI"/>
          <w:sz w:val="22"/>
          <w:szCs w:val="22"/>
          <w:shd w:val="clear" w:color="auto" w:fill="FFFF00"/>
        </w:rPr>
        <w:t>202X</w:t>
      </w:r>
      <w:r>
        <w:rPr>
          <w:rFonts w:ascii="Segoe UI" w:hAnsi="Segoe UI" w:cs="Segoe UI"/>
          <w:sz w:val="22"/>
          <w:szCs w:val="22"/>
        </w:rPr>
        <w:t xml:space="preserve">, atualmente este </w:t>
      </w:r>
      <w:r>
        <w:rPr>
          <w:rFonts w:ascii="Segoe UI" w:hAnsi="Segoe UI" w:cs="Segoe UI"/>
          <w:sz w:val="22"/>
          <w:szCs w:val="22"/>
          <w:shd w:val="clear" w:color="auto" w:fill="FFFF00"/>
        </w:rPr>
        <w:t>&lt;Denominação do RPPS&gt;</w:t>
      </w:r>
      <w:r>
        <w:rPr>
          <w:rFonts w:ascii="Segoe UI" w:hAnsi="Segoe UI" w:cs="Segoe UI"/>
          <w:sz w:val="22"/>
          <w:szCs w:val="22"/>
        </w:rPr>
        <w:t xml:space="preserve"> possui </w:t>
      </w:r>
      <w:r>
        <w:rPr>
          <w:rFonts w:ascii="Segoe UI" w:hAnsi="Segoe UI" w:cs="Segoe UI"/>
          <w:sz w:val="22"/>
          <w:szCs w:val="22"/>
          <w:shd w:val="clear" w:color="auto" w:fill="FFFF00"/>
        </w:rPr>
        <w:t>00000</w:t>
      </w:r>
      <w:r>
        <w:rPr>
          <w:rFonts w:ascii="Segoe UI" w:hAnsi="Segoe UI" w:cs="Segoe UI"/>
          <w:sz w:val="22"/>
          <w:szCs w:val="22"/>
        </w:rPr>
        <w:t xml:space="preserve"> segurados e beneficiários vinculados ao RPPS, se enquadrando, portanto, no GRUPO </w:t>
      </w:r>
      <w:r>
        <w:rPr>
          <w:rFonts w:ascii="Segoe UI" w:hAnsi="Segoe UI" w:cs="Segoe UI"/>
          <w:sz w:val="22"/>
          <w:szCs w:val="22"/>
          <w:shd w:val="clear" w:color="auto" w:fill="FFFF00"/>
        </w:rPr>
        <w:t>XXXXXX</w:t>
      </w:r>
      <w:r>
        <w:rPr>
          <w:rFonts w:ascii="Segoe UI" w:hAnsi="Segoe UI" w:cs="Segoe UI"/>
          <w:sz w:val="22"/>
          <w:szCs w:val="22"/>
        </w:rPr>
        <w:t xml:space="preserve"> que corresponde ao Valor Mensal de Utilização do COMPREV de </w:t>
      </w:r>
      <w:r>
        <w:rPr>
          <w:rFonts w:ascii="Segoe UI" w:hAnsi="Segoe UI" w:cs="Segoe UI"/>
          <w:sz w:val="22"/>
          <w:szCs w:val="22"/>
          <w:shd w:val="clear" w:color="auto" w:fill="FFFF00"/>
        </w:rPr>
        <w:t>R$ 0,00</w:t>
      </w:r>
      <w:r>
        <w:rPr>
          <w:rFonts w:ascii="Segoe UI" w:hAnsi="Segoe UI" w:cs="Segoe UI"/>
          <w:sz w:val="22"/>
          <w:szCs w:val="22"/>
        </w:rPr>
        <w:t>.</w:t>
      </w:r>
    </w:p>
    <w:p w:rsidR="009E22DE" w:rsidRDefault="009260D1">
      <w:pPr>
        <w:pStyle w:val="Standard"/>
        <w:spacing w:before="240"/>
        <w:jc w:val="both"/>
      </w:pPr>
      <w:r>
        <w:rPr>
          <w:rFonts w:ascii="Segoe UI" w:hAnsi="Segoe UI" w:cs="Segoe UI"/>
          <w:sz w:val="22"/>
          <w:szCs w:val="22"/>
        </w:rPr>
        <w:t xml:space="preserve">Por conseguinte, o valor estimado inicial </w:t>
      </w:r>
      <w:r>
        <w:rPr>
          <w:rFonts w:ascii="Segoe UI" w:hAnsi="Segoe UI" w:cs="Segoe UI"/>
          <w:b/>
          <w:bCs/>
          <w:sz w:val="22"/>
          <w:szCs w:val="22"/>
        </w:rPr>
        <w:t>total</w:t>
      </w:r>
      <w:r>
        <w:rPr>
          <w:rFonts w:ascii="Segoe UI" w:hAnsi="Segoe UI" w:cs="Segoe UI"/>
          <w:sz w:val="22"/>
          <w:szCs w:val="22"/>
        </w:rPr>
        <w:t xml:space="preserve"> da presente contratação é </w:t>
      </w:r>
      <w:r>
        <w:rPr>
          <w:rFonts w:ascii="Segoe UI" w:hAnsi="Segoe UI" w:cs="Segoe UI"/>
          <w:sz w:val="22"/>
          <w:szCs w:val="22"/>
          <w:shd w:val="clear" w:color="auto" w:fill="FFFF00"/>
        </w:rPr>
        <w:t>R$ 000,00 (mil reais)</w:t>
      </w:r>
      <w:r>
        <w:rPr>
          <w:rFonts w:ascii="Segoe UI" w:hAnsi="Segoe UI" w:cs="Segoe UI"/>
          <w:sz w:val="22"/>
          <w:szCs w:val="22"/>
        </w:rPr>
        <w:t xml:space="preserve"> o </w:t>
      </w:r>
      <w:r>
        <w:rPr>
          <w:rFonts w:ascii="Segoe UI" w:hAnsi="Segoe UI" w:cs="Segoe UI"/>
          <w:sz w:val="22"/>
          <w:szCs w:val="22"/>
        </w:rPr>
        <w:t>qual pode ser atualizado no decorrer da vigência contratual considerando eventuais alterações na quantidade de segurados e beneficiários vinculados ao RPPS conforme publicações do ISP.</w:t>
      </w:r>
    </w:p>
    <w:p w:rsidR="009E22DE" w:rsidRDefault="009E22DE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</w:p>
    <w:p w:rsidR="009E22DE" w:rsidRDefault="009260D1">
      <w:pPr>
        <w:pStyle w:val="Ttulo2"/>
      </w:pPr>
      <w:bookmarkStart w:id="35" w:name="_Toc75782301"/>
      <w:r>
        <w:t>7.1</w:t>
      </w:r>
      <w:r>
        <w:tab/>
        <w:t>Dotação Orçamentária e Cronograma Físico Financeiro</w:t>
      </w:r>
      <w:bookmarkEnd w:id="35"/>
    </w:p>
    <w:p w:rsidR="009E22DE" w:rsidRDefault="009260D1">
      <w:pPr>
        <w:pStyle w:val="Standard"/>
        <w:spacing w:before="240"/>
        <w:jc w:val="both"/>
      </w:pPr>
      <w:r>
        <w:rPr>
          <w:rFonts w:ascii="Segoe UI" w:hAnsi="Segoe UI" w:cs="Segoe UI"/>
          <w:sz w:val="22"/>
          <w:szCs w:val="22"/>
        </w:rPr>
        <w:t>Os recursos fi</w:t>
      </w:r>
      <w:r>
        <w:rPr>
          <w:rFonts w:ascii="Segoe UI" w:hAnsi="Segoe UI" w:cs="Segoe UI"/>
          <w:sz w:val="22"/>
          <w:szCs w:val="22"/>
        </w:rPr>
        <w:t xml:space="preserve">nanceiros para fazer face às despesas da contratação do objeto deste Projeto Básico serão atendidos com dotações do </w:t>
      </w:r>
      <w:r>
        <w:rPr>
          <w:rFonts w:ascii="Segoe UI" w:hAnsi="Segoe UI" w:cs="Segoe UI"/>
          <w:sz w:val="22"/>
          <w:szCs w:val="22"/>
          <w:shd w:val="clear" w:color="auto" w:fill="FFFF00"/>
        </w:rPr>
        <w:t>Orçamento Estadual/Municipal para 20XX</w:t>
      </w:r>
      <w:r>
        <w:rPr>
          <w:rFonts w:ascii="Segoe UI" w:hAnsi="Segoe UI" w:cs="Segoe UI"/>
          <w:sz w:val="22"/>
          <w:szCs w:val="22"/>
        </w:rPr>
        <w:t xml:space="preserve">, alocadas ao </w:t>
      </w:r>
      <w:r>
        <w:rPr>
          <w:rFonts w:ascii="Segoe UI" w:hAnsi="Segoe UI" w:cs="Segoe UI"/>
          <w:sz w:val="22"/>
          <w:szCs w:val="22"/>
          <w:shd w:val="clear" w:color="auto" w:fill="FFFF00"/>
        </w:rPr>
        <w:t>&lt;Denominação do RPPS&gt;</w:t>
      </w:r>
      <w:r>
        <w:rPr>
          <w:rFonts w:ascii="Segoe UI" w:hAnsi="Segoe UI" w:cs="Segoe UI"/>
          <w:sz w:val="22"/>
          <w:szCs w:val="22"/>
        </w:rPr>
        <w:t xml:space="preserve">, por meio das Ações </w:t>
      </w:r>
      <w:r>
        <w:rPr>
          <w:rFonts w:ascii="Segoe UI" w:hAnsi="Segoe UI" w:cs="Segoe UI"/>
          <w:sz w:val="22"/>
          <w:szCs w:val="22"/>
          <w:shd w:val="clear" w:color="auto" w:fill="FFFF00"/>
        </w:rPr>
        <w:t>0000- XXXXXXXXXXXXXXX</w:t>
      </w:r>
      <w:r>
        <w:rPr>
          <w:rFonts w:ascii="Segoe UI" w:hAnsi="Segoe UI" w:cs="Segoe UI"/>
          <w:sz w:val="22"/>
          <w:szCs w:val="22"/>
        </w:rPr>
        <w:t>, conforme planejamento e</w:t>
      </w:r>
      <w:r>
        <w:rPr>
          <w:rFonts w:ascii="Segoe UI" w:hAnsi="Segoe UI" w:cs="Segoe UI"/>
          <w:sz w:val="22"/>
          <w:szCs w:val="22"/>
        </w:rPr>
        <w:t>stratégico deste RPPS.</w:t>
      </w:r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 Notas de Empenho para os anos seguintes ao primeiro serão registradas no respectivo processo administrativo por meio de Termo de Apostilamento.</w:t>
      </w:r>
    </w:p>
    <w:p w:rsidR="009E22DE" w:rsidRDefault="009260D1">
      <w:pPr>
        <w:pStyle w:val="Standard"/>
        <w:spacing w:before="240"/>
        <w:jc w:val="both"/>
      </w:pPr>
      <w:r>
        <w:rPr>
          <w:rFonts w:ascii="Segoe UI" w:hAnsi="Segoe UI" w:cs="Segoe UI"/>
          <w:sz w:val="22"/>
          <w:szCs w:val="22"/>
        </w:rPr>
        <w:t xml:space="preserve">A previsão da execução física da presente contratação acompanha a periodicidade </w:t>
      </w:r>
      <w:r>
        <w:rPr>
          <w:rFonts w:ascii="Segoe UI" w:hAnsi="Segoe UI" w:cs="Segoe UI"/>
          <w:b/>
          <w:bCs/>
          <w:sz w:val="22"/>
          <w:szCs w:val="22"/>
        </w:rPr>
        <w:t>mensal</w:t>
      </w:r>
      <w:r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definida na tabela de custeio da Resolução CNRPPS/ME nº 2, de 14 de maio de 2021, ou seja, dispêndio mensal de </w:t>
      </w:r>
      <w:r>
        <w:rPr>
          <w:rFonts w:ascii="Segoe UI" w:hAnsi="Segoe UI" w:cs="Segoe UI"/>
          <w:sz w:val="22"/>
          <w:szCs w:val="22"/>
          <w:shd w:val="clear" w:color="auto" w:fill="FFFF00"/>
        </w:rPr>
        <w:t>R$ 0,00 (mil reais)</w:t>
      </w:r>
      <w:r>
        <w:rPr>
          <w:rFonts w:ascii="Segoe UI" w:hAnsi="Segoe UI" w:cs="Segoe UI"/>
          <w:sz w:val="22"/>
          <w:szCs w:val="22"/>
        </w:rPr>
        <w:t xml:space="preserve"> face ao enquadramento deste RPPS no GRUPO </w:t>
      </w:r>
      <w:r>
        <w:rPr>
          <w:rFonts w:ascii="Segoe UI" w:hAnsi="Segoe UI" w:cs="Segoe UI"/>
          <w:sz w:val="22"/>
          <w:szCs w:val="22"/>
          <w:shd w:val="clear" w:color="auto" w:fill="FFFF00"/>
        </w:rPr>
        <w:t>XXXXX</w:t>
      </w:r>
      <w:r>
        <w:rPr>
          <w:rFonts w:ascii="Segoe UI" w:hAnsi="Segoe UI" w:cs="Segoe UI"/>
          <w:sz w:val="22"/>
          <w:szCs w:val="22"/>
        </w:rPr>
        <w:t xml:space="preserve"> da tabela.</w:t>
      </w:r>
    </w:p>
    <w:p w:rsidR="009E22DE" w:rsidRDefault="009E22DE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</w:p>
    <w:p w:rsidR="009E22DE" w:rsidRDefault="009260D1">
      <w:pPr>
        <w:pStyle w:val="Ttulo2"/>
      </w:pPr>
      <w:bookmarkStart w:id="36" w:name="_Toc75782302"/>
      <w:bookmarkStart w:id="37" w:name="_Toc75718665"/>
      <w:bookmarkStart w:id="38" w:name="_Toc74213073"/>
      <w:r>
        <w:t>7.2</w:t>
      </w:r>
      <w:r>
        <w:tab/>
        <w:t>Forma de Pagamento</w:t>
      </w:r>
      <w:bookmarkEnd w:id="36"/>
      <w:bookmarkEnd w:id="37"/>
      <w:bookmarkEnd w:id="38"/>
    </w:p>
    <w:p w:rsidR="009E22DE" w:rsidRDefault="009260D1">
      <w:pPr>
        <w:pStyle w:val="Standard"/>
        <w:spacing w:before="240"/>
        <w:jc w:val="both"/>
      </w:pPr>
      <w:r>
        <w:rPr>
          <w:rFonts w:ascii="Segoe UI" w:hAnsi="Segoe UI" w:cs="Segoe UI"/>
          <w:sz w:val="22"/>
          <w:szCs w:val="22"/>
        </w:rPr>
        <w:t>A forma de pagamentos pelos serviços prest</w:t>
      </w:r>
      <w:r>
        <w:rPr>
          <w:rFonts w:ascii="Segoe UI" w:hAnsi="Segoe UI" w:cs="Segoe UI"/>
          <w:sz w:val="22"/>
          <w:szCs w:val="22"/>
        </w:rPr>
        <w:t>ados é aquela definida no Contrato de Adesão ao Sistema Comprev, padronizado pela Dataprev em virtude do expressivo volume de contratações e aprovado pelo Conselho Nacional dos Regimes Próprios de Previdência Social, por meio de deliberação dos Conselheiro</w:t>
      </w:r>
      <w:r>
        <w:rPr>
          <w:rFonts w:ascii="Segoe UI" w:hAnsi="Segoe UI" w:cs="Segoe UI"/>
          <w:sz w:val="22"/>
          <w:szCs w:val="22"/>
        </w:rPr>
        <w:t xml:space="preserve">s do CNRPPS publicada na </w:t>
      </w:r>
      <w:r>
        <w:rPr>
          <w:rFonts w:ascii="Segoe UI" w:hAnsi="Segoe UI" w:cs="Segoe UI"/>
          <w:sz w:val="22"/>
          <w:szCs w:val="22"/>
          <w:shd w:val="clear" w:color="auto" w:fill="FFFF00"/>
        </w:rPr>
        <w:t>Resolução CNRPPS/ME nº 00, de 00 de xxxxxx de 2021.</w:t>
      </w:r>
    </w:p>
    <w:p w:rsidR="009E22DE" w:rsidRDefault="009E22DE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</w:p>
    <w:p w:rsidR="009E22DE" w:rsidRDefault="009260D1">
      <w:pPr>
        <w:pStyle w:val="Ttulo1"/>
      </w:pPr>
      <w:bookmarkStart w:id="39" w:name="_Toc75782303"/>
      <w:r>
        <w:t>8</w:t>
      </w:r>
      <w:r>
        <w:tab/>
        <w:t>Regime de Execução do Contrato</w:t>
      </w:r>
      <w:bookmarkEnd w:id="39"/>
    </w:p>
    <w:p w:rsidR="009E22DE" w:rsidRDefault="009260D1">
      <w:pPr>
        <w:pStyle w:val="Standard"/>
        <w:spacing w:before="240"/>
        <w:jc w:val="both"/>
      </w:pPr>
      <w:r>
        <w:rPr>
          <w:rFonts w:ascii="Segoe UI" w:hAnsi="Segoe UI" w:cs="Segoe UI"/>
          <w:sz w:val="22"/>
          <w:szCs w:val="22"/>
        </w:rPr>
        <w:t xml:space="preserve">A presente contratação se enquadra no regime de execução </w:t>
      </w:r>
      <w:r>
        <w:rPr>
          <w:rFonts w:ascii="Segoe UI" w:hAnsi="Segoe UI" w:cs="Segoe UI"/>
          <w:b/>
          <w:bCs/>
          <w:sz w:val="22"/>
          <w:szCs w:val="22"/>
        </w:rPr>
        <w:t>Empreitada por Preço Unitário</w:t>
      </w:r>
      <w:r>
        <w:rPr>
          <w:rFonts w:ascii="Segoe UI" w:hAnsi="Segoe UI" w:cs="Segoe UI"/>
          <w:sz w:val="22"/>
          <w:szCs w:val="22"/>
        </w:rPr>
        <w:t xml:space="preserve">, pois segue o formato de precificação apresentado no §1º </w:t>
      </w:r>
      <w:r>
        <w:rPr>
          <w:rFonts w:ascii="Segoe UI" w:hAnsi="Segoe UI" w:cs="Segoe UI"/>
          <w:sz w:val="22"/>
          <w:szCs w:val="22"/>
        </w:rPr>
        <w:t>do Art. 2º da Resolução CNRPPS/ME nº 2, de 14 de maio de 2021.</w:t>
      </w:r>
    </w:p>
    <w:p w:rsidR="009E22DE" w:rsidRDefault="009E22DE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</w:p>
    <w:p w:rsidR="009E22DE" w:rsidRDefault="009260D1">
      <w:pPr>
        <w:pStyle w:val="Ttulo1"/>
      </w:pPr>
      <w:bookmarkStart w:id="40" w:name="_Toc52541755"/>
      <w:bookmarkStart w:id="41" w:name="_Toc52535706"/>
      <w:bookmarkStart w:id="42" w:name="_Toc51926299"/>
      <w:bookmarkStart w:id="43" w:name="_Toc75718662"/>
      <w:bookmarkStart w:id="44" w:name="_Toc74213071"/>
      <w:bookmarkStart w:id="45" w:name="_Toc75782304"/>
      <w:r>
        <w:lastRenderedPageBreak/>
        <w:t>9</w:t>
      </w:r>
      <w:r>
        <w:tab/>
      </w:r>
      <w:bookmarkEnd w:id="40"/>
      <w:bookmarkEnd w:id="41"/>
      <w:bookmarkEnd w:id="42"/>
      <w:r>
        <w:t xml:space="preserve">Fundamentação e </w:t>
      </w:r>
      <w:bookmarkEnd w:id="43"/>
      <w:bookmarkEnd w:id="44"/>
      <w:r>
        <w:t>Seleção do Fornecedor</w:t>
      </w:r>
      <w:bookmarkEnd w:id="45"/>
    </w:p>
    <w:p w:rsidR="009E22DE" w:rsidRDefault="009E22DE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</w:p>
    <w:p w:rsidR="009E22DE" w:rsidRDefault="009260D1">
      <w:pPr>
        <w:pStyle w:val="Ttulo2"/>
      </w:pPr>
      <w:bookmarkStart w:id="46" w:name="_Toc75782305"/>
      <w:r>
        <w:t xml:space="preserve">9.1 </w:t>
      </w:r>
      <w:r>
        <w:tab/>
        <w:t>Processo de Planejamento</w:t>
      </w:r>
      <w:bookmarkEnd w:id="46"/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Essa contratação possuirá natureza estimativa e considera que os gestores de TI dos regimes de previdência devem planejar</w:t>
      </w:r>
      <w:r>
        <w:rPr>
          <w:rFonts w:ascii="Segoe UI" w:hAnsi="Segoe UI" w:cs="Segoe UI"/>
          <w:sz w:val="22"/>
          <w:szCs w:val="22"/>
        </w:rPr>
        <w:t xml:space="preserve"> suas contratações de modo que os pagamentos pelos serviços prestados se encontrem aderentes ao quantitativo de segurados e beneficiários vinculados ao RPPS do respectivo ente federativo, às taxas mensais constantes na Resolução CNRPPS/ME nº 2, de 14 de ma</w:t>
      </w:r>
      <w:r>
        <w:rPr>
          <w:rFonts w:ascii="Segoe UI" w:hAnsi="Segoe UI" w:cs="Segoe UI"/>
          <w:sz w:val="22"/>
          <w:szCs w:val="22"/>
        </w:rPr>
        <w:t>io de 2021, em função de resultados verificáveis apresentados pelo fornecedor, mensurados, sempre que possível, por unidades quantitativas.</w:t>
      </w:r>
    </w:p>
    <w:p w:rsidR="009E22DE" w:rsidRDefault="009E22DE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</w:p>
    <w:p w:rsidR="009E22DE" w:rsidRDefault="009260D1">
      <w:pPr>
        <w:pStyle w:val="Ttulo2"/>
      </w:pPr>
      <w:bookmarkStart w:id="47" w:name="_Toc75782306"/>
      <w:r>
        <w:t>9.2</w:t>
      </w:r>
      <w:r>
        <w:tab/>
        <w:t>Seleção do Fornecedor</w:t>
      </w:r>
      <w:bookmarkEnd w:id="47"/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Considerando a natureza altamente específica do objeto;</w:t>
      </w:r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Considerando a singularidade circ</w:t>
      </w:r>
      <w:r>
        <w:rPr>
          <w:rFonts w:ascii="Segoe UI" w:hAnsi="Segoe UI" w:cs="Segoe UI"/>
          <w:sz w:val="22"/>
          <w:szCs w:val="22"/>
        </w:rPr>
        <w:t>unstancial na oferta do objeto por uma única empresa desenvolvedora e operacionalizadora, conforme anteriormente demonstrado neste Projeto Básico;</w:t>
      </w:r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Considerando não existir atualmente pluralidade de opções que ofereçam sistema de compensação previdenciária </w:t>
      </w:r>
      <w:r>
        <w:rPr>
          <w:rFonts w:ascii="Segoe UI" w:hAnsi="Segoe UI" w:cs="Segoe UI"/>
          <w:sz w:val="22"/>
          <w:szCs w:val="22"/>
        </w:rPr>
        <w:t>que atenda e intercomunique todos os entes sujeitos à obrigação legal de realizar a compensação financeira, adotando os procedimentos padronizados previstos no Decreto nº 10.188/2019 para análise de todos os requerimentos formalizados, conforme expresso pe</w:t>
      </w:r>
      <w:r>
        <w:rPr>
          <w:rFonts w:ascii="Segoe UI" w:hAnsi="Segoe UI" w:cs="Segoe UI"/>
          <w:sz w:val="22"/>
          <w:szCs w:val="22"/>
        </w:rPr>
        <w:t>la Recomendação CNRPPS/ME nº 1, de 15 de março de 2021.</w:t>
      </w:r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Considerando que o rol de hipóteses previsto na legislação aplicável não é exaustivo e considera, portanto, a possibilidade de existirem situações além daquelas relacionadas nas quais a competição é i</w:t>
      </w:r>
      <w:r>
        <w:rPr>
          <w:rFonts w:ascii="Segoe UI" w:hAnsi="Segoe UI" w:cs="Segoe UI"/>
          <w:sz w:val="22"/>
          <w:szCs w:val="22"/>
        </w:rPr>
        <w:t>nviável.</w:t>
      </w:r>
    </w:p>
    <w:p w:rsidR="009E22DE" w:rsidRDefault="009260D1">
      <w:pPr>
        <w:pStyle w:val="Standard"/>
        <w:spacing w:before="240"/>
        <w:jc w:val="both"/>
      </w:pPr>
      <w:r>
        <w:rPr>
          <w:rFonts w:ascii="Segoe UI" w:hAnsi="Segoe UI" w:cs="Segoe UI"/>
          <w:sz w:val="22"/>
          <w:szCs w:val="22"/>
        </w:rPr>
        <w:t xml:space="preserve">Entendemos existir situação regulamentar e fática que inviabiliza a competição neste momento, configurando-se a hipótese de </w:t>
      </w:r>
      <w:r>
        <w:rPr>
          <w:rFonts w:ascii="Segoe UI" w:hAnsi="Segoe UI" w:cs="Segoe UI"/>
          <w:b/>
          <w:bCs/>
          <w:sz w:val="22"/>
          <w:szCs w:val="22"/>
        </w:rPr>
        <w:t>Inexigibilidade de Licitação</w:t>
      </w:r>
      <w:r>
        <w:rPr>
          <w:rFonts w:ascii="Segoe UI" w:hAnsi="Segoe UI" w:cs="Segoe UI"/>
          <w:sz w:val="22"/>
          <w:szCs w:val="22"/>
        </w:rPr>
        <w:t>.</w:t>
      </w:r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Nesta esteira, não há que se falar em escolha do fornecedor. Firma-se, portanto, situação de </w:t>
      </w:r>
      <w:r>
        <w:rPr>
          <w:rFonts w:ascii="Segoe UI" w:hAnsi="Segoe UI" w:cs="Segoe UI"/>
          <w:sz w:val="22"/>
          <w:szCs w:val="22"/>
        </w:rPr>
        <w:t>contratação direta da Empresa de Tecnologia e Informações da Previdência – DATAPREV, em atendimento ao;</w:t>
      </w:r>
    </w:p>
    <w:p w:rsidR="009E22DE" w:rsidRDefault="009260D1">
      <w:pPr>
        <w:pStyle w:val="Standard"/>
        <w:numPr>
          <w:ilvl w:val="0"/>
          <w:numId w:val="5"/>
        </w:numPr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§1º do Art. 10º do Decreto 10.188 de 20 de dezembro de 2019.</w:t>
      </w:r>
    </w:p>
    <w:p w:rsidR="009E22DE" w:rsidRDefault="009260D1">
      <w:pPr>
        <w:pStyle w:val="Standard"/>
        <w:numPr>
          <w:ilvl w:val="0"/>
          <w:numId w:val="5"/>
        </w:numPr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Art. 5º da Portaria nº 15.829 de 2 de julho de 2020 da Secretaria Especial de Previdência e</w:t>
      </w:r>
      <w:r>
        <w:rPr>
          <w:rFonts w:ascii="Segoe UI" w:hAnsi="Segoe UI" w:cs="Segoe UI"/>
          <w:sz w:val="22"/>
          <w:szCs w:val="22"/>
        </w:rPr>
        <w:t xml:space="preserve"> Trabalho do Ministério da Economia;</w:t>
      </w:r>
    </w:p>
    <w:p w:rsidR="009E22DE" w:rsidRDefault="009E22DE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</w:p>
    <w:p w:rsidR="009E22DE" w:rsidRDefault="009260D1">
      <w:pPr>
        <w:pStyle w:val="Ttulo1"/>
      </w:pPr>
      <w:bookmarkStart w:id="48" w:name="_Toc75718666"/>
      <w:bookmarkStart w:id="49" w:name="_Toc75782307"/>
      <w:r>
        <w:t>10</w:t>
      </w:r>
      <w:r>
        <w:tab/>
        <w:t>Vigência</w:t>
      </w:r>
      <w:bookmarkEnd w:id="48"/>
      <w:r>
        <w:t xml:space="preserve"> do Contrato</w:t>
      </w:r>
      <w:bookmarkEnd w:id="49"/>
    </w:p>
    <w:p w:rsidR="009E22DE" w:rsidRDefault="009260D1">
      <w:pPr>
        <w:pStyle w:val="Standard"/>
        <w:spacing w:before="240"/>
        <w:jc w:val="both"/>
      </w:pPr>
      <w:r>
        <w:rPr>
          <w:rFonts w:ascii="Segoe UI" w:hAnsi="Segoe UI" w:cs="Segoe UI"/>
          <w:sz w:val="22"/>
          <w:szCs w:val="22"/>
        </w:rPr>
        <w:t>Considerando que a presente contratação decorre de obrigação legal e regulamentar e o serviço a ser prestado possui caráter contínuo se considera mais adequado administrativamente acompanhar a vigência do Termo de Adesão e do Contrato de Adesão aprovado pe</w:t>
      </w:r>
      <w:r>
        <w:rPr>
          <w:rFonts w:ascii="Segoe UI" w:hAnsi="Segoe UI" w:cs="Segoe UI"/>
          <w:sz w:val="22"/>
          <w:szCs w:val="22"/>
        </w:rPr>
        <w:t xml:space="preserve">lo CNRPPS conforme </w:t>
      </w:r>
      <w:r>
        <w:rPr>
          <w:rFonts w:ascii="Segoe UI" w:hAnsi="Segoe UI" w:cs="Segoe UI"/>
          <w:sz w:val="22"/>
          <w:szCs w:val="22"/>
          <w:shd w:val="clear" w:color="auto" w:fill="FFFF00"/>
        </w:rPr>
        <w:t>Resolução nº</w:t>
      </w:r>
      <w:r>
        <w:rPr>
          <w:rFonts w:ascii="Segoe UI" w:hAnsi="Segoe UI" w:cs="Segoe UI"/>
          <w:sz w:val="22"/>
          <w:szCs w:val="22"/>
        </w:rPr>
        <w:t>. Portanto a vigência prevista é de 5 (cinco) anos.</w:t>
      </w:r>
    </w:p>
    <w:p w:rsidR="009E22DE" w:rsidRDefault="009E22DE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</w:p>
    <w:p w:rsidR="009E22DE" w:rsidRDefault="009260D1">
      <w:pPr>
        <w:pStyle w:val="Ttulo1"/>
      </w:pPr>
      <w:bookmarkStart w:id="50" w:name="_Toc75782308"/>
      <w:r>
        <w:t>11</w:t>
      </w:r>
      <w:r>
        <w:tab/>
        <w:t>Reajuste de Preços</w:t>
      </w:r>
      <w:bookmarkEnd w:id="50"/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 Modelo de Negócio e o Contrato de Adesão disponibilizados pela empresa de tecnologia responsável pelo desenvolvimento do sistema de compensação pre</w:t>
      </w:r>
      <w:r>
        <w:rPr>
          <w:rFonts w:ascii="Segoe UI" w:hAnsi="Segoe UI" w:cs="Segoe UI"/>
          <w:sz w:val="22"/>
          <w:szCs w:val="22"/>
        </w:rPr>
        <w:t>videnciária há previsão de reajuste de preços.</w:t>
      </w:r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 reajuste do valor pactuado será formalizado pelo CONTRATANTE por meio de apostilamento e a anualidade é aferida a partir da data da última atualização da tabela de preços proposta pela DATAPREV e ao CNRPPS e</w:t>
      </w:r>
      <w:r>
        <w:rPr>
          <w:rFonts w:ascii="Segoe UI" w:hAnsi="Segoe UI" w:cs="Segoe UI"/>
          <w:sz w:val="22"/>
          <w:szCs w:val="22"/>
        </w:rPr>
        <w:t xml:space="preserve"> publicada pelo CNRPPS.</w:t>
      </w:r>
    </w:p>
    <w:p w:rsidR="009E22DE" w:rsidRDefault="009E22DE">
      <w:pPr>
        <w:pStyle w:val="Standard"/>
        <w:spacing w:before="240"/>
        <w:jc w:val="both"/>
      </w:pPr>
    </w:p>
    <w:p w:rsidR="009E22DE" w:rsidRDefault="009260D1">
      <w:pPr>
        <w:pStyle w:val="Ttulo1"/>
      </w:pPr>
      <w:bookmarkStart w:id="51" w:name="_Toc75782309"/>
      <w:bookmarkStart w:id="52" w:name="_Toc75718667"/>
      <w:r>
        <w:t>12</w:t>
      </w:r>
      <w:r>
        <w:tab/>
        <w:t>Referência Legal</w:t>
      </w:r>
      <w:bookmarkEnd w:id="51"/>
      <w:bookmarkEnd w:id="52"/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LEI Nº 9.717, DE 27 DE NOVEMBRO DE 1998.</w:t>
      </w:r>
    </w:p>
    <w:p w:rsidR="009E22DE" w:rsidRDefault="009260D1">
      <w:pPr>
        <w:pStyle w:val="Standard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Dispõe sobre regras gerais para a organização e o funcionamento dos regimes próprios de previdência social dos servidores públicos da União, dos Estados, do Distrito </w:t>
      </w:r>
      <w:r>
        <w:rPr>
          <w:rFonts w:ascii="Segoe UI" w:hAnsi="Segoe UI" w:cs="Segoe UI"/>
          <w:sz w:val="18"/>
          <w:szCs w:val="18"/>
        </w:rPr>
        <w:t>Federal e dos Municípios, dos militares dos Estados e do Distrito Federal e dá outras providências.</w:t>
      </w:r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LEI Nº 9.796, DE 5 DE MAIO DE 1999.</w:t>
      </w:r>
    </w:p>
    <w:p w:rsidR="009E22DE" w:rsidRDefault="009260D1">
      <w:pPr>
        <w:pStyle w:val="Standard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Dispõe sobre a compensação financeira entre o Regime Geral de Previdência Social e os regimes de previdência dos servido</w:t>
      </w:r>
      <w:r>
        <w:rPr>
          <w:rFonts w:ascii="Segoe UI" w:hAnsi="Segoe UI" w:cs="Segoe UI"/>
          <w:sz w:val="18"/>
          <w:szCs w:val="18"/>
        </w:rPr>
        <w:t>res da União, dos Estados, do Distrito Federal e dos Municípios, nos casos de contagem recíproca de tempo de contribuição para efeito de aposentadoria, e dá outras providências.</w:t>
      </w:r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  <w:highlight w:val="yellow"/>
        </w:rPr>
      </w:pPr>
      <w:r>
        <w:rPr>
          <w:rFonts w:ascii="Segoe UI" w:hAnsi="Segoe UI" w:cs="Segoe UI"/>
          <w:sz w:val="22"/>
          <w:szCs w:val="22"/>
          <w:highlight w:val="yellow"/>
        </w:rPr>
        <w:t>LEI Nº 14.133, DE 1º DE ABRIL DE 2021</w:t>
      </w:r>
    </w:p>
    <w:p w:rsidR="009E22DE" w:rsidRDefault="009260D1">
      <w:pPr>
        <w:pStyle w:val="Standard"/>
        <w:jc w:val="both"/>
        <w:rPr>
          <w:rFonts w:ascii="Segoe UI" w:hAnsi="Segoe UI" w:cs="Segoe UI"/>
          <w:sz w:val="18"/>
          <w:szCs w:val="18"/>
          <w:highlight w:val="yellow"/>
        </w:rPr>
      </w:pPr>
      <w:r>
        <w:rPr>
          <w:rFonts w:ascii="Segoe UI" w:hAnsi="Segoe UI" w:cs="Segoe UI"/>
          <w:sz w:val="18"/>
          <w:szCs w:val="18"/>
          <w:highlight w:val="yellow"/>
        </w:rPr>
        <w:t>Lei de Licitações e Contratos Administra</w:t>
      </w:r>
      <w:r>
        <w:rPr>
          <w:rFonts w:ascii="Segoe UI" w:hAnsi="Segoe UI" w:cs="Segoe UI"/>
          <w:sz w:val="18"/>
          <w:szCs w:val="18"/>
          <w:highlight w:val="yellow"/>
        </w:rPr>
        <w:t>tivos.</w:t>
      </w:r>
    </w:p>
    <w:p w:rsidR="009E22DE" w:rsidRDefault="009E22DE">
      <w:pPr>
        <w:pStyle w:val="Standard"/>
        <w:jc w:val="both"/>
        <w:rPr>
          <w:rFonts w:ascii="Segoe UI" w:hAnsi="Segoe UI" w:cs="Segoe UI"/>
          <w:sz w:val="18"/>
          <w:szCs w:val="18"/>
          <w:highlight w:val="yellow"/>
        </w:rPr>
      </w:pPr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  <w:highlight w:val="yellow"/>
        </w:rPr>
      </w:pPr>
      <w:r>
        <w:rPr>
          <w:rFonts w:ascii="Segoe UI" w:hAnsi="Segoe UI" w:cs="Segoe UI"/>
          <w:sz w:val="22"/>
          <w:szCs w:val="22"/>
          <w:highlight w:val="yellow"/>
        </w:rPr>
        <w:t xml:space="preserve">LEI nº. 8.666, DE 21 DE JUNHO DE 1993 </w:t>
      </w:r>
    </w:p>
    <w:p w:rsidR="009E22DE" w:rsidRDefault="009260D1">
      <w:pPr>
        <w:pStyle w:val="Standard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  <w:highlight w:val="yellow"/>
        </w:rPr>
        <w:t>Lei de Licitações e Contratos da Administração Pública</w:t>
      </w:r>
    </w:p>
    <w:p w:rsidR="009E22DE" w:rsidRDefault="009E22DE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lastRenderedPageBreak/>
        <w:t>Legislação Estadual ou Municipal, em matéria de licitações e contratos administrativos, eventualmente aplicável.</w:t>
      </w:r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DECRETO Nº 10.188, DE 20 DE DEZEMBRO DE </w:t>
      </w:r>
      <w:r>
        <w:rPr>
          <w:rFonts w:ascii="Segoe UI" w:hAnsi="Segoe UI" w:cs="Segoe UI"/>
          <w:sz w:val="22"/>
          <w:szCs w:val="22"/>
        </w:rPr>
        <w:t>2019</w:t>
      </w:r>
    </w:p>
    <w:p w:rsidR="009E22DE" w:rsidRDefault="009260D1">
      <w:pPr>
        <w:pStyle w:val="Standard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Regulamenta a Lei nº 9.796, de 5 de maio de 1999, para dispor sobre a compensação financeira entre o Regime Geral de Previdência Social e os regimes próprios de previdência social dos servidores públicos da União, dos Estados, do Distrito Federal e do</w:t>
      </w:r>
      <w:r>
        <w:rPr>
          <w:rFonts w:ascii="Segoe UI" w:hAnsi="Segoe UI" w:cs="Segoe UI"/>
          <w:sz w:val="18"/>
          <w:szCs w:val="18"/>
        </w:rPr>
        <w:t>s Municípios, e entre os regimes próprios, na hipótese de contagem recíproca de tempo de contribuição para efeito de aposentadoria, e dá outras providências.</w:t>
      </w:r>
    </w:p>
    <w:p w:rsidR="009E22DE" w:rsidRDefault="009260D1">
      <w:pPr>
        <w:pStyle w:val="Standard"/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PORTARIA/SEPTR/ME Nº 15.829, DE 2 DE JULHO DE 2020</w:t>
      </w:r>
    </w:p>
    <w:p w:rsidR="009E22DE" w:rsidRDefault="009260D1">
      <w:pPr>
        <w:pStyle w:val="Standard"/>
        <w:jc w:val="both"/>
      </w:pPr>
      <w:r>
        <w:rPr>
          <w:rFonts w:ascii="Segoe UI" w:hAnsi="Segoe UI" w:cs="Segoe UI"/>
          <w:sz w:val="18"/>
          <w:szCs w:val="18"/>
        </w:rPr>
        <w:t>Dispõe sobre a operacionalização da compensação</w:t>
      </w:r>
      <w:r>
        <w:rPr>
          <w:rFonts w:ascii="Segoe UI" w:hAnsi="Segoe UI" w:cs="Segoe UI"/>
          <w:sz w:val="18"/>
          <w:szCs w:val="18"/>
        </w:rPr>
        <w:t xml:space="preserve"> financeira entre o Regime Geral de Previdência Social e os regimes próprios de previdência social da União, dos Estados, do Distrito Federal e dos Municípios e destes entre si, de que tratam a Lei nº 9.796, de 5 de maio de 1999, e o Decreto nº 10.188, de </w:t>
      </w:r>
      <w:r>
        <w:rPr>
          <w:rFonts w:ascii="Segoe UI" w:hAnsi="Segoe UI" w:cs="Segoe UI"/>
          <w:sz w:val="18"/>
          <w:szCs w:val="18"/>
        </w:rPr>
        <w:t>20 de dezembro de 2019. (Processo nº 10133.100215/2020-20).</w:t>
      </w:r>
    </w:p>
    <w:sectPr w:rsidR="009E22DE">
      <w:headerReference w:type="default" r:id="rId10"/>
      <w:footerReference w:type="default" r:id="rId11"/>
      <w:pgSz w:w="11906" w:h="16838"/>
      <w:pgMar w:top="1134" w:right="1134" w:bottom="1134" w:left="1134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0D1" w:rsidRDefault="009260D1">
      <w:r>
        <w:separator/>
      </w:r>
    </w:p>
  </w:endnote>
  <w:endnote w:type="continuationSeparator" w:id="0">
    <w:p w:rsidR="009260D1" w:rsidRDefault="0092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2DE" w:rsidRDefault="009260D1">
    <w:pPr>
      <w:pStyle w:val="Rodap"/>
      <w:jc w:val="right"/>
    </w:pPr>
    <w:r>
      <w:rPr>
        <w:rFonts w:ascii="Segoe UI" w:hAnsi="Segoe UI" w:cs="Segoe UI"/>
        <w:sz w:val="18"/>
        <w:szCs w:val="18"/>
      </w:rPr>
      <w:t xml:space="preserve">Página </w:t>
    </w:r>
    <w:r>
      <w:rPr>
        <w:rFonts w:ascii="Segoe UI" w:hAnsi="Segoe UI" w:cs="Segoe UI"/>
        <w:b/>
        <w:bCs/>
        <w:sz w:val="18"/>
        <w:szCs w:val="18"/>
      </w:rPr>
      <w:fldChar w:fldCharType="begin"/>
    </w:r>
    <w:r>
      <w:rPr>
        <w:rFonts w:ascii="Segoe UI" w:hAnsi="Segoe UI" w:cs="Segoe UI"/>
        <w:b/>
        <w:bCs/>
        <w:sz w:val="18"/>
        <w:szCs w:val="18"/>
      </w:rPr>
      <w:instrText>PAGE</w:instrText>
    </w:r>
    <w:r>
      <w:rPr>
        <w:rFonts w:ascii="Segoe UI" w:hAnsi="Segoe UI" w:cs="Segoe UI"/>
        <w:b/>
        <w:bCs/>
        <w:sz w:val="18"/>
        <w:szCs w:val="18"/>
      </w:rPr>
      <w:fldChar w:fldCharType="separate"/>
    </w:r>
    <w:r w:rsidR="00783C84">
      <w:rPr>
        <w:rFonts w:ascii="Segoe UI" w:hAnsi="Segoe UI" w:cs="Segoe UI"/>
        <w:b/>
        <w:bCs/>
        <w:noProof/>
        <w:sz w:val="18"/>
        <w:szCs w:val="18"/>
      </w:rPr>
      <w:t>1</w:t>
    </w:r>
    <w:r>
      <w:rPr>
        <w:rFonts w:ascii="Segoe UI" w:hAnsi="Segoe UI" w:cs="Segoe UI"/>
        <w:b/>
        <w:bCs/>
        <w:sz w:val="18"/>
        <w:szCs w:val="18"/>
      </w:rPr>
      <w:fldChar w:fldCharType="end"/>
    </w:r>
    <w:r>
      <w:rPr>
        <w:rFonts w:ascii="Segoe UI" w:hAnsi="Segoe UI" w:cs="Segoe UI"/>
        <w:sz w:val="18"/>
        <w:szCs w:val="18"/>
      </w:rPr>
      <w:t xml:space="preserve"> de </w:t>
    </w:r>
    <w:r>
      <w:rPr>
        <w:rFonts w:ascii="Segoe UI" w:hAnsi="Segoe UI" w:cs="Segoe UI"/>
        <w:b/>
        <w:bCs/>
        <w:sz w:val="18"/>
        <w:szCs w:val="18"/>
      </w:rPr>
      <w:fldChar w:fldCharType="begin"/>
    </w:r>
    <w:r>
      <w:rPr>
        <w:rFonts w:ascii="Segoe UI" w:hAnsi="Segoe UI" w:cs="Segoe UI"/>
        <w:b/>
        <w:bCs/>
        <w:sz w:val="18"/>
        <w:szCs w:val="18"/>
      </w:rPr>
      <w:instrText>NUMPAGES</w:instrText>
    </w:r>
    <w:r>
      <w:rPr>
        <w:rFonts w:ascii="Segoe UI" w:hAnsi="Segoe UI" w:cs="Segoe UI"/>
        <w:b/>
        <w:bCs/>
        <w:sz w:val="18"/>
        <w:szCs w:val="18"/>
      </w:rPr>
      <w:fldChar w:fldCharType="separate"/>
    </w:r>
    <w:r w:rsidR="00783C84">
      <w:rPr>
        <w:rFonts w:ascii="Segoe UI" w:hAnsi="Segoe UI" w:cs="Segoe UI"/>
        <w:b/>
        <w:bCs/>
        <w:noProof/>
        <w:sz w:val="18"/>
        <w:szCs w:val="18"/>
      </w:rPr>
      <w:t>15</w:t>
    </w:r>
    <w:r>
      <w:rPr>
        <w:rFonts w:ascii="Segoe UI" w:hAnsi="Segoe UI" w:cs="Segoe UI"/>
        <w:b/>
        <w:bCs/>
        <w:sz w:val="18"/>
        <w:szCs w:val="18"/>
      </w:rPr>
      <w:fldChar w:fldCharType="end"/>
    </w:r>
  </w:p>
  <w:p w:rsidR="009E22DE" w:rsidRDefault="009E22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0D1" w:rsidRDefault="009260D1">
      <w:r>
        <w:separator/>
      </w:r>
    </w:p>
  </w:footnote>
  <w:footnote w:type="continuationSeparator" w:id="0">
    <w:p w:rsidR="009260D1" w:rsidRDefault="00926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2DE" w:rsidRDefault="009260D1">
    <w:pPr>
      <w:pStyle w:val="Cabealho"/>
      <w:jc w:val="center"/>
      <w:rPr>
        <w:rFonts w:ascii="Segoe UI" w:hAnsi="Segoe UI" w:cs="Segoe UI"/>
        <w:b/>
        <w:bCs/>
        <w:sz w:val="22"/>
        <w:szCs w:val="22"/>
      </w:rPr>
    </w:pPr>
    <w:r>
      <w:rPr>
        <w:rFonts w:ascii="Segoe UI" w:hAnsi="Segoe UI" w:cs="Segoe UI"/>
        <w:b/>
        <w:bCs/>
        <w:sz w:val="22"/>
        <w:szCs w:val="22"/>
      </w:rPr>
      <w:t>PROJETO BÁSICO</w:t>
    </w:r>
  </w:p>
  <w:p w:rsidR="009E22DE" w:rsidRDefault="009E22DE">
    <w:pPr>
      <w:pStyle w:val="Cabealho"/>
    </w:pPr>
  </w:p>
  <w:p w:rsidR="009E22DE" w:rsidRDefault="009260D1">
    <w:pPr>
      <w:pStyle w:val="Cabealho"/>
      <w:ind w:left="1701"/>
      <w:jc w:val="right"/>
      <w:rPr>
        <w:rFonts w:ascii="Segoe UI" w:hAnsi="Segoe UI" w:cs="Segoe UI"/>
        <w:i/>
        <w:iCs/>
        <w:sz w:val="22"/>
        <w:szCs w:val="22"/>
      </w:rPr>
    </w:pPr>
    <w:r>
      <w:rPr>
        <w:rFonts w:ascii="Segoe UI" w:hAnsi="Segoe UI" w:cs="Segoe UI"/>
        <w:i/>
        <w:iCs/>
        <w:sz w:val="22"/>
        <w:szCs w:val="22"/>
      </w:rPr>
      <w:t xml:space="preserve">Contratação de serviço SaaS (Software as a Service) para operacionalização da compensação financeira entre o </w:t>
    </w:r>
    <w:r>
      <w:rPr>
        <w:rFonts w:ascii="Segoe UI" w:hAnsi="Segoe UI" w:cs="Segoe UI"/>
        <w:i/>
        <w:iCs/>
        <w:sz w:val="22"/>
        <w:szCs w:val="22"/>
      </w:rPr>
      <w:t>Regime Geral de Previdência Social e os regimes próprios de previdência social dos servidores públicos da União, dos Estados, do Distrito Federal e dos Municípios, e entre os regimes próprios, na hipótese de contagem recíproca de tempo de contribuição para</w:t>
    </w:r>
    <w:r>
      <w:rPr>
        <w:rFonts w:ascii="Segoe UI" w:hAnsi="Segoe UI" w:cs="Segoe UI"/>
        <w:i/>
        <w:iCs/>
        <w:sz w:val="22"/>
        <w:szCs w:val="22"/>
      </w:rPr>
      <w:t xml:space="preserve"> efeito de aposentadoria, em cumprimento ao estabelecido pelo Decreto 10.188 de 20 de dezembro de 2019.</w:t>
    </w:r>
  </w:p>
  <w:p w:rsidR="009E22DE" w:rsidRDefault="009E22DE">
    <w:pPr>
      <w:pStyle w:val="Cabealho"/>
      <w:jc w:val="center"/>
    </w:pPr>
  </w:p>
  <w:p w:rsidR="009E22DE" w:rsidRDefault="009260D1">
    <w:pPr>
      <w:pStyle w:val="Cabealho"/>
      <w:jc w:val="right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_________________________________________________________________________________________________________</w:t>
    </w:r>
  </w:p>
  <w:p w:rsidR="009E22DE" w:rsidRDefault="009E22DE">
    <w:pPr>
      <w:pStyle w:val="Cabealho"/>
      <w:jc w:val="right"/>
      <w:rPr>
        <w:rFonts w:ascii="Segoe UI" w:hAnsi="Segoe UI" w:cs="Segoe U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A69C6"/>
    <w:multiLevelType w:val="multilevel"/>
    <w:tmpl w:val="5300A442"/>
    <w:lvl w:ilvl="0">
      <w:numFmt w:val="bullet"/>
      <w:lvlText w:val=""/>
      <w:lvlJc w:val="left"/>
      <w:pPr>
        <w:tabs>
          <w:tab w:val="num" w:pos="0"/>
        </w:tabs>
        <w:ind w:left="2421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3141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3861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581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5301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6021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741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7461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818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41F5267"/>
    <w:multiLevelType w:val="multilevel"/>
    <w:tmpl w:val="E584BD7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041D46"/>
    <w:multiLevelType w:val="multilevel"/>
    <w:tmpl w:val="564C0C6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5594F9C"/>
    <w:multiLevelType w:val="multilevel"/>
    <w:tmpl w:val="A3BE5F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C135110"/>
    <w:multiLevelType w:val="multilevel"/>
    <w:tmpl w:val="564AF0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1621393"/>
    <w:multiLevelType w:val="multilevel"/>
    <w:tmpl w:val="5A36256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DE"/>
    <w:rsid w:val="00783C84"/>
    <w:rsid w:val="009260D1"/>
    <w:rsid w:val="009E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91F4B-5151-485A-A88F-DE1EDA08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eastAsia="Times New Roman" w:hAnsi="Calibri Light" w:cs="Mangal"/>
      <w:b/>
      <w:sz w:val="32"/>
      <w:szCs w:val="2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ascii="Calibri Light" w:eastAsia="Times New Roman" w:hAnsi="Calibri Light" w:cs="Mangal"/>
      <w:b/>
      <w:sz w:val="26"/>
      <w:szCs w:val="23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40"/>
      <w:outlineLvl w:val="2"/>
    </w:pPr>
    <w:rPr>
      <w:rFonts w:ascii="Calibri Light" w:eastAsia="Times New Roman" w:hAnsi="Calibri Light" w:cs="Mangal"/>
      <w:color w:val="1F3763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qFormat/>
    <w:rPr>
      <w:rFonts w:ascii="Calibri Light" w:eastAsia="Times New Roman" w:hAnsi="Calibri Light" w:cs="Mangal"/>
      <w:b/>
      <w:sz w:val="32"/>
      <w:szCs w:val="29"/>
    </w:rPr>
  </w:style>
  <w:style w:type="character" w:customStyle="1" w:styleId="TtuloChar">
    <w:name w:val="Título Char"/>
    <w:basedOn w:val="Fontepargpadro"/>
    <w:qFormat/>
    <w:rPr>
      <w:rFonts w:ascii="Calibri Light" w:eastAsia="Times New Roman" w:hAnsi="Calibri Light" w:cs="Mangal"/>
      <w:spacing w:val="-10"/>
      <w:kern w:val="2"/>
      <w:sz w:val="56"/>
      <w:szCs w:val="50"/>
    </w:rPr>
  </w:style>
  <w:style w:type="character" w:customStyle="1" w:styleId="Ttulo2Char">
    <w:name w:val="Título 2 Char"/>
    <w:basedOn w:val="Fontepargpadro"/>
    <w:qFormat/>
    <w:rPr>
      <w:rFonts w:ascii="Calibri Light" w:eastAsia="Times New Roman" w:hAnsi="Calibri Light" w:cs="Mangal"/>
      <w:b/>
      <w:sz w:val="26"/>
      <w:szCs w:val="23"/>
    </w:rPr>
  </w:style>
  <w:style w:type="character" w:customStyle="1" w:styleId="CabealhoChar">
    <w:name w:val="Cabeçalho Char"/>
    <w:basedOn w:val="Fontepargpadro"/>
    <w:qFormat/>
    <w:rPr>
      <w:rFonts w:cs="Mangal"/>
      <w:szCs w:val="21"/>
    </w:rPr>
  </w:style>
  <w:style w:type="character" w:customStyle="1" w:styleId="RodapChar">
    <w:name w:val="Rodapé Char"/>
    <w:basedOn w:val="Fontepargpadro"/>
    <w:qFormat/>
    <w:rPr>
      <w:rFonts w:cs="Mangal"/>
      <w:szCs w:val="21"/>
    </w:rPr>
  </w:style>
  <w:style w:type="character" w:customStyle="1" w:styleId="LinkdaInternet">
    <w:name w:val="Link da Internet"/>
    <w:basedOn w:val="Fontepargpadro"/>
    <w:rPr>
      <w:color w:val="auto"/>
      <w:u w:val="single"/>
    </w:rPr>
  </w:style>
  <w:style w:type="character" w:customStyle="1" w:styleId="UnresolvedMention">
    <w:name w:val="Unresolved Mention"/>
    <w:basedOn w:val="Fontepargpadro"/>
    <w:qFormat/>
    <w:rPr>
      <w:color w:val="605E5C"/>
      <w:shd w:val="clear" w:color="auto" w:fill="E1DFDD"/>
    </w:rPr>
  </w:style>
  <w:style w:type="character" w:customStyle="1" w:styleId="SubttuloChar">
    <w:name w:val="Subtítulo Char"/>
    <w:basedOn w:val="Fontepargpadro"/>
    <w:qFormat/>
    <w:rPr>
      <w:rFonts w:ascii="Calibri" w:eastAsia="Times New Roman" w:hAnsi="Calibri" w:cs="Mangal"/>
      <w:color w:val="5A5A5A"/>
      <w:spacing w:val="15"/>
      <w:sz w:val="22"/>
      <w:szCs w:val="20"/>
    </w:rPr>
  </w:style>
  <w:style w:type="character" w:customStyle="1" w:styleId="Ttulo3Char">
    <w:name w:val="Título 3 Char"/>
    <w:basedOn w:val="Fontepargpadro"/>
    <w:qFormat/>
    <w:rPr>
      <w:rFonts w:ascii="Calibri Light" w:eastAsia="Times New Roman" w:hAnsi="Calibri Light" w:cs="Mangal"/>
      <w:color w:val="1F3763"/>
      <w:szCs w:val="21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qFormat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qFormat/>
    <w:rPr>
      <w:rFonts w:cs="Mangal"/>
      <w:b/>
      <w:bCs/>
      <w:sz w:val="20"/>
      <w:szCs w:val="18"/>
    </w:rPr>
  </w:style>
  <w:style w:type="character" w:customStyle="1" w:styleId="Vnculodendice">
    <w:name w:val="Vínculo de índice"/>
    <w:qFormat/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Ttulo">
    <w:name w:val="Title"/>
    <w:basedOn w:val="Normal"/>
    <w:next w:val="Normal"/>
    <w:uiPriority w:val="10"/>
    <w:qFormat/>
    <w:rPr>
      <w:rFonts w:ascii="Calibri Light" w:eastAsia="Times New Roman" w:hAnsi="Calibri Light" w:cs="Mangal"/>
      <w:spacing w:val="-10"/>
      <w:sz w:val="56"/>
      <w:szCs w:val="5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CabealhodoSumrio">
    <w:name w:val="TOC Heading"/>
    <w:basedOn w:val="Ttulo1"/>
    <w:next w:val="Normal"/>
    <w:qFormat/>
    <w:pPr>
      <w:suppressAutoHyphens w:val="0"/>
      <w:textAlignment w:val="auto"/>
    </w:pPr>
    <w:rPr>
      <w:rFonts w:cs="Times New Roman"/>
      <w:kern w:val="0"/>
      <w:szCs w:val="32"/>
      <w:lang w:eastAsia="pt-BR" w:bidi="ar-SA"/>
    </w:rPr>
  </w:style>
  <w:style w:type="paragraph" w:styleId="Sumrio1">
    <w:name w:val="toc 1"/>
    <w:basedOn w:val="Normal"/>
    <w:next w:val="Normal"/>
    <w:autoRedefine/>
    <w:pPr>
      <w:tabs>
        <w:tab w:val="left" w:pos="440"/>
        <w:tab w:val="right" w:leader="dot" w:pos="9628"/>
      </w:tabs>
      <w:spacing w:after="100"/>
    </w:pPr>
    <w:rPr>
      <w:rFonts w:ascii="Segoe UI" w:hAnsi="Segoe UI" w:cs="Mangal"/>
      <w:sz w:val="22"/>
      <w:szCs w:val="21"/>
    </w:rPr>
  </w:style>
  <w:style w:type="paragraph" w:styleId="Sumrio2">
    <w:name w:val="toc 2"/>
    <w:basedOn w:val="Normal"/>
    <w:next w:val="Normal"/>
    <w:autoRedefine/>
    <w:pPr>
      <w:spacing w:after="100"/>
      <w:ind w:left="240"/>
    </w:pPr>
    <w:rPr>
      <w:rFonts w:ascii="Segoe UI" w:hAnsi="Segoe UI" w:cs="Mangal"/>
      <w:sz w:val="20"/>
      <w:szCs w:val="21"/>
    </w:rPr>
  </w:style>
  <w:style w:type="paragraph" w:styleId="Sumrio3">
    <w:name w:val="toc 3"/>
    <w:basedOn w:val="Normal"/>
    <w:next w:val="Normal"/>
    <w:autoRedefine/>
    <w:pPr>
      <w:spacing w:after="100"/>
      <w:ind w:left="480"/>
    </w:pPr>
    <w:rPr>
      <w:rFonts w:ascii="Segoe UI" w:hAnsi="Segoe UI" w:cs="Mangal"/>
      <w:sz w:val="16"/>
      <w:szCs w:val="21"/>
    </w:rPr>
  </w:style>
  <w:style w:type="paragraph" w:styleId="Subttulo">
    <w:name w:val="Subtitle"/>
    <w:basedOn w:val="Normal"/>
    <w:next w:val="Normal"/>
    <w:uiPriority w:val="11"/>
    <w:qFormat/>
    <w:pPr>
      <w:spacing w:after="160"/>
    </w:pPr>
    <w:rPr>
      <w:rFonts w:ascii="Calibri" w:eastAsia="Times New Roman" w:hAnsi="Calibri" w:cs="Mangal"/>
      <w:color w:val="5A5A5A"/>
      <w:spacing w:val="15"/>
      <w:sz w:val="22"/>
      <w:szCs w:val="20"/>
    </w:rPr>
  </w:style>
  <w:style w:type="paragraph" w:styleId="Textodecomentrio">
    <w:name w:val="annotation text"/>
    <w:basedOn w:val="Normal"/>
    <w:qFormat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.gov.br/web/dou/-/recomendacao-cnrpps/me-n-1-de-15-de-marco-de-2021-30898517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br/previdencia/pt-br/assuntos/previdencia-no-servico-publico/compensacao-previdenciaria/arquivos/2020/OfcioCircular146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4599</Words>
  <Characters>24835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Grifante Kmita - DATAPREVDF</dc:creator>
  <dc:description/>
  <cp:lastModifiedBy>Lauro</cp:lastModifiedBy>
  <cp:revision>2</cp:revision>
  <cp:lastPrinted>2021-11-10T12:31:00Z</cp:lastPrinted>
  <dcterms:created xsi:type="dcterms:W3CDTF">2021-12-27T12:43:00Z</dcterms:created>
  <dcterms:modified xsi:type="dcterms:W3CDTF">2021-12-27T12:43:00Z</dcterms:modified>
  <dc:language>pt-BR</dc:language>
</cp:coreProperties>
</file>